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62"/>
        <w:ind w:firstLine="0"/>
        <w:jc w:val="center"/>
        <w:rPr>
          <w:rFonts w:hint="eastAsia" w:ascii="宋体" w:hAnsi="宋体" w:cs="宋体"/>
          <w:color w:val="auto"/>
          <w:sz w:val="72"/>
          <w:szCs w:val="72"/>
          <w:highlight w:val="none"/>
          <w:lang w:eastAsia="zh-CN"/>
        </w:rPr>
      </w:pPr>
      <w:r>
        <w:rPr>
          <w:rFonts w:hint="eastAsia" w:ascii="宋体" w:hAnsi="宋体" w:cs="宋体"/>
          <w:b/>
          <w:bCs/>
          <w:color w:val="auto"/>
          <w:spacing w:val="80"/>
          <w:sz w:val="72"/>
          <w:szCs w:val="72"/>
          <w:highlight w:val="none"/>
          <w:lang w:eastAsia="zh-CN"/>
        </w:rPr>
        <w:t xml:space="preserve">赣榆区政府采购</w:t>
      </w:r>
      <w:r/>
    </w:p>
    <w:p>
      <w:pPr>
        <w:pStyle w:val="1062"/>
        <w:ind w:firstLine="0"/>
        <w:jc w:val="center"/>
        <w:rPr>
          <w:rFonts w:hint="eastAsia" w:ascii="宋体" w:hAnsi="宋体" w:cs="宋体"/>
          <w:b/>
          <w:color w:val="auto"/>
          <w:sz w:val="52"/>
          <w:szCs w:val="52"/>
          <w:highlight w:val="none"/>
          <w:lang w:eastAsia="zh-CN"/>
        </w:rPr>
      </w:pPr>
      <w:r>
        <w:rPr>
          <w:rFonts w:hint="eastAsia" w:ascii="宋体" w:hAnsi="宋体" w:cs="宋体"/>
          <w:b/>
          <w:color w:val="auto"/>
          <w:sz w:val="52"/>
          <w:szCs w:val="52"/>
          <w:highlight w:val="none"/>
          <w:lang w:eastAsia="zh-CN"/>
        </w:rPr>
      </w:r>
      <w:r/>
    </w:p>
    <w:p>
      <w:pPr>
        <w:pStyle w:val="1062"/>
        <w:ind w:firstLine="0"/>
        <w:jc w:val="center"/>
        <w:rPr>
          <w:rFonts w:hint="eastAsia" w:ascii="宋体" w:hAnsi="宋体" w:cs="宋体"/>
          <w:b/>
          <w:bCs/>
          <w:color w:val="auto"/>
          <w:sz w:val="72"/>
          <w:szCs w:val="72"/>
          <w:highlight w:val="none"/>
          <w:lang w:eastAsia="zh-CN"/>
        </w:rPr>
      </w:pPr>
      <w:r>
        <w:rPr>
          <w:rFonts w:hint="eastAsia" w:ascii="宋体" w:hAnsi="宋体" w:cs="宋体"/>
          <w:b/>
          <w:bCs/>
          <w:color w:val="auto"/>
          <w:sz w:val="72"/>
          <w:szCs w:val="72"/>
          <w:highlight w:val="none"/>
          <w:lang w:eastAsia="zh-CN"/>
        </w:rPr>
        <w:t xml:space="preserve">招标文件</w:t>
      </w:r>
      <w:r/>
    </w:p>
    <w:p>
      <w:pPr>
        <w:pStyle w:val="1062"/>
        <w:ind w:firstLine="0"/>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r>
      <w:r/>
    </w:p>
    <w:p>
      <w:pPr>
        <w:jc w:val="left"/>
        <w:spacing w:before="150" w:after="150" w:line="390" w:lineRule="atLeast"/>
        <w:shd w:val="clear" w:color="auto" w:fill="ffffff"/>
        <w:widowControl/>
        <w:rPr>
          <w:rFonts w:hint="eastAsia" w:ascii="宋体" w:hAnsi="宋体" w:cs="宋体"/>
          <w:b/>
          <w:bCs/>
          <w:color w:val="auto"/>
          <w:sz w:val="32"/>
          <w:highlight w:val="none"/>
        </w:rPr>
      </w:pPr>
      <w:r>
        <w:rPr>
          <w:rFonts w:hint="eastAsia" w:ascii="宋体" w:hAnsi="宋体" w:cs="宋体"/>
          <w:b/>
          <w:bCs/>
          <w:color w:val="auto"/>
          <w:sz w:val="32"/>
          <w:highlight w:val="none"/>
        </w:rPr>
        <w:t xml:space="preserve">项目名称：2026年浒苔大型驳船租赁项目（专门面向中小企业）</w:t>
      </w:r>
      <w:r/>
    </w:p>
    <w:p>
      <w:pPr>
        <w:jc w:val="left"/>
        <w:spacing w:before="150" w:after="150" w:line="390" w:lineRule="atLeast"/>
        <w:shd w:val="clear" w:color="auto" w:fill="ffffff"/>
        <w:widowControl/>
        <w:rPr>
          <w:rFonts w:hint="eastAsia" w:ascii="宋体" w:hAnsi="宋体" w:cs="宋体"/>
          <w:b/>
          <w:bCs/>
          <w:color w:val="auto"/>
          <w:sz w:val="32"/>
          <w:highlight w:val="none"/>
        </w:rPr>
      </w:pPr>
      <w:r>
        <w:rPr>
          <w:rFonts w:hint="eastAsia" w:ascii="宋体" w:hAnsi="宋体" w:cs="宋体"/>
          <w:b/>
          <w:bCs/>
          <w:color w:val="auto"/>
          <w:sz w:val="32"/>
          <w:highlight w:val="none"/>
        </w:rPr>
        <w:t xml:space="preserve">项目编号：JSZC-320707-BHXM-G2026-0005</w:t>
      </w:r>
      <w:r>
        <w:rPr>
          <w:rFonts w:hint="eastAsia" w:ascii="宋体" w:hAnsi="宋体" w:cs="宋体"/>
          <w:b/>
          <w:bCs/>
          <w:color w:val="auto"/>
          <w:sz w:val="32"/>
          <w:highlight w:val="none"/>
        </w:rPr>
        <w:tab/>
      </w:r>
      <w:r>
        <w:rPr>
          <w:rFonts w:hint="eastAsia" w:ascii="宋体" w:hAnsi="宋体" w:cs="宋体"/>
          <w:b/>
          <w:bCs/>
          <w:color w:val="auto"/>
          <w:sz w:val="32"/>
          <w:highlight w:val="none"/>
        </w:rPr>
        <w:t xml:space="preserve"> </w:t>
      </w:r>
      <w:r/>
    </w:p>
    <w:p>
      <w:pPr>
        <w:pStyle w:val="1062"/>
        <w:ind w:firstLine="0"/>
        <w:jc w:val="center"/>
        <w:rPr>
          <w:rFonts w:hint="eastAsia" w:ascii="宋体" w:hAnsi="宋体" w:cs="宋体"/>
          <w:b/>
          <w:bCs/>
          <w:color w:val="auto"/>
          <w:sz w:val="32"/>
          <w:highlight w:val="none"/>
          <w:lang w:eastAsia="zh-CN"/>
        </w:rPr>
      </w:pPr>
      <w:r>
        <w:rPr>
          <w:rFonts w:hint="eastAsia" w:ascii="宋体" w:hAnsi="宋体" w:cs="宋体"/>
          <w:b/>
          <w:bCs/>
          <w:color w:val="auto"/>
          <w:sz w:val="32"/>
          <w:highlight w:val="none"/>
          <w:lang w:eastAsia="zh-CN"/>
        </w:rPr>
      </w:r>
      <w:r/>
    </w:p>
    <w:p>
      <w:pPr>
        <w:pStyle w:val="1062"/>
        <w:ind w:firstLine="0"/>
        <w:jc w:val="center"/>
        <w:rPr>
          <w:rFonts w:hint="eastAsia" w:ascii="宋体" w:hAnsi="宋体" w:cs="宋体"/>
          <w:b/>
          <w:bCs/>
          <w:color w:val="auto"/>
          <w:sz w:val="32"/>
          <w:highlight w:val="none"/>
          <w:lang w:eastAsia="zh-CN"/>
        </w:rPr>
      </w:pPr>
      <w:r>
        <w:rPr>
          <w:rFonts w:hint="eastAsia" w:ascii="宋体" w:hAnsi="宋体" w:cs="宋体"/>
          <w:b/>
          <w:bCs/>
          <w:color w:val="auto"/>
          <w:sz w:val="32"/>
          <w:highlight w:val="none"/>
          <w:lang w:eastAsia="zh-CN"/>
        </w:rPr>
      </w:r>
      <w:r/>
    </w:p>
    <w:p>
      <w:pPr>
        <w:pStyle w:val="1062"/>
        <w:ind w:firstLine="0"/>
        <w:jc w:val="center"/>
        <w:rPr>
          <w:rFonts w:hint="eastAsia" w:ascii="宋体" w:hAnsi="宋体" w:cs="宋体"/>
          <w:b/>
          <w:bCs/>
          <w:color w:val="auto"/>
          <w:sz w:val="32"/>
          <w:highlight w:val="none"/>
          <w:lang w:eastAsia="zh-CN"/>
        </w:rPr>
      </w:pPr>
      <w:r>
        <w:rPr>
          <w:rFonts w:hint="eastAsia" w:ascii="宋体" w:hAnsi="宋体" w:cs="宋体"/>
          <w:b/>
          <w:bCs/>
          <w:color w:val="auto"/>
          <w:sz w:val="32"/>
          <w:highlight w:val="none"/>
          <w:lang w:eastAsia="zh-CN"/>
        </w:rPr>
      </w:r>
      <w:r/>
    </w:p>
    <w:p>
      <w:pPr>
        <w:pStyle w:val="1062"/>
        <w:ind w:firstLine="0"/>
        <w:jc w:val="center"/>
        <w:rPr>
          <w:rFonts w:hint="eastAsia" w:ascii="宋体" w:hAnsi="宋体" w:cs="宋体"/>
          <w:b/>
          <w:bCs/>
          <w:color w:val="auto"/>
          <w:sz w:val="32"/>
          <w:highlight w:val="none"/>
          <w:lang w:eastAsia="zh-CN"/>
        </w:rPr>
      </w:pPr>
      <w:r>
        <w:rPr>
          <w:rFonts w:hint="eastAsia" w:ascii="宋体" w:hAnsi="宋体" w:cs="宋体"/>
          <w:b/>
          <w:bCs/>
          <w:color w:val="auto"/>
          <w:sz w:val="32"/>
          <w:highlight w:val="none"/>
          <w:lang w:eastAsia="zh-CN"/>
        </w:rPr>
      </w:r>
      <w:r/>
    </w:p>
    <w:p>
      <w:pPr>
        <w:pStyle w:val="1062"/>
        <w:ind w:firstLine="0"/>
        <w:jc w:val="center"/>
        <w:rPr>
          <w:rFonts w:hint="eastAsia" w:ascii="宋体" w:hAnsi="宋体" w:cs="宋体"/>
          <w:b/>
          <w:bCs/>
          <w:color w:val="auto"/>
          <w:sz w:val="32"/>
          <w:highlight w:val="none"/>
          <w:lang w:eastAsia="zh-CN"/>
        </w:rPr>
      </w:pPr>
      <w:r>
        <w:rPr>
          <w:rFonts w:hint="eastAsia" w:ascii="宋体" w:hAnsi="宋体" w:cs="宋体"/>
          <w:b/>
          <w:bCs/>
          <w:color w:val="auto"/>
          <w:sz w:val="32"/>
          <w:highlight w:val="none"/>
          <w:lang w:eastAsia="zh-CN"/>
        </w:rPr>
      </w:r>
      <w:r/>
    </w:p>
    <w:p>
      <w:pPr>
        <w:pStyle w:val="1062"/>
        <w:rPr>
          <w:rFonts w:hint="eastAsia" w:ascii="宋体" w:hAnsi="宋体" w:cs="宋体"/>
          <w:bCs/>
          <w:color w:val="auto"/>
          <w:sz w:val="32"/>
          <w:highlight w:val="none"/>
          <w:lang w:eastAsia="zh-CN"/>
        </w:rPr>
      </w:pPr>
      <w:r>
        <w:rPr>
          <w:rFonts w:hint="eastAsia" w:ascii="宋体" w:hAnsi="宋体" w:cs="宋体"/>
          <w:bCs/>
          <w:color w:val="auto"/>
          <w:sz w:val="32"/>
          <w:highlight w:val="none"/>
          <w:lang w:eastAsia="zh-CN"/>
        </w:rPr>
        <w:t xml:space="preserve">采   购   人：连云港市赣榆区自然资源和规划局</w:t>
      </w:r>
      <w:r/>
    </w:p>
    <w:p>
      <w:pPr>
        <w:pStyle w:val="1062"/>
        <w:rPr>
          <w:rFonts w:hint="eastAsia" w:ascii="宋体" w:hAnsi="宋体" w:cs="宋体"/>
          <w:bCs/>
          <w:color w:val="auto"/>
          <w:sz w:val="32"/>
          <w:highlight w:val="none"/>
          <w:lang w:eastAsia="zh-CN"/>
        </w:rPr>
      </w:pPr>
      <w:r>
        <w:rPr>
          <w:rFonts w:hint="eastAsia" w:ascii="宋体" w:hAnsi="宋体" w:cs="宋体"/>
          <w:bCs/>
          <w:color w:val="auto"/>
          <w:sz w:val="32"/>
          <w:highlight w:val="none"/>
          <w:lang w:eastAsia="zh-CN"/>
        </w:rPr>
        <w:t xml:space="preserve">采购代理机构：江苏宝宏项目管理咨询有限公司</w:t>
      </w:r>
      <w:r/>
    </w:p>
    <w:p>
      <w:pPr>
        <w:pStyle w:val="1062"/>
        <w:jc w:val="center"/>
        <w:rPr>
          <w:rFonts w:hint="eastAsia" w:ascii="宋体" w:hAnsi="宋体" w:cs="宋体"/>
          <w:bCs/>
          <w:color w:val="auto"/>
          <w:sz w:val="32"/>
          <w:highlight w:val="none"/>
          <w:lang w:eastAsia="zh-CN"/>
        </w:rPr>
      </w:pPr>
      <w:r>
        <w:rPr>
          <w:rFonts w:hint="eastAsia" w:ascii="宋体" w:hAnsi="宋体" w:cs="宋体"/>
          <w:bCs/>
          <w:color w:val="auto"/>
          <w:sz w:val="32"/>
          <w:highlight w:val="none"/>
          <w:lang w:eastAsia="zh-CN"/>
        </w:rPr>
        <w:t xml:space="preserve">2026年</w:t>
      </w:r>
      <w:r>
        <w:rPr>
          <w:rFonts w:hint="eastAsia" w:ascii="宋体" w:hAnsi="宋体" w:cs="宋体"/>
          <w:bCs/>
          <w:color w:val="auto"/>
          <w:sz w:val="32"/>
          <w:highlight w:val="none"/>
          <w:lang w:val="en-US" w:eastAsia="zh-CN"/>
        </w:rPr>
        <w:t xml:space="preserve">05</w:t>
      </w:r>
      <w:r>
        <w:rPr>
          <w:rFonts w:hint="eastAsia" w:ascii="宋体" w:hAnsi="宋体" w:cs="宋体"/>
          <w:bCs/>
          <w:color w:val="auto"/>
          <w:sz w:val="32"/>
          <w:highlight w:val="none"/>
          <w:lang w:eastAsia="zh-CN"/>
        </w:rPr>
        <w:t xml:space="preserve">月</w:t>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spacing w:before="120" w:after="120" w:line="360" w:lineRule="auto"/>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1012"/>
        <w:jc w:val="center"/>
        <w:spacing w:before="156" w:after="156"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目  录</w:t>
      </w:r>
      <w:r/>
    </w:p>
    <w:p>
      <w:pPr>
        <w:pStyle w:val="1036"/>
        <w:tabs>
          <w:tab w:val="right" w:pos="8296" w:leader="dot"/>
        </w:tabs>
        <w:rPr>
          <w:color w:val="auto"/>
          <w:sz w:val="32"/>
          <w:highlight w:val="none"/>
        </w:rPr>
      </w:pPr>
      <w:r>
        <w:rPr>
          <w:rFonts w:hint="eastAsia" w:ascii="黑体" w:hAnsi="黑体" w:eastAsia="黑体"/>
          <w:color w:val="auto"/>
          <w:sz w:val="32"/>
          <w:highlight w:val="none"/>
        </w:rPr>
        <w:t xml:space="preserve">第一章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投标邀请</w:t>
      </w:r>
      <w:r>
        <w:rPr>
          <w:color w:val="auto"/>
          <w:sz w:val="32"/>
          <w:highlight w:val="none"/>
        </w:rPr>
        <w:tab/>
      </w:r>
      <w:r>
        <w:rPr>
          <w:color w:val="auto"/>
          <w:sz w:val="32"/>
          <w:highlight w:val="none"/>
        </w:rPr>
        <w:fldChar w:fldCharType="begin"/>
      </w:r>
      <w:r>
        <w:rPr>
          <w:color w:val="auto"/>
          <w:sz w:val="32"/>
          <w:highlight w:val="none"/>
        </w:rPr>
        <w:instrText xml:space="preserve"> PAGEREF _Toc155796356 \h </w:instrText>
      </w:r>
      <w:r>
        <w:rPr>
          <w:color w:val="auto"/>
          <w:sz w:val="32"/>
          <w:highlight w:val="none"/>
        </w:rPr>
        <w:fldChar w:fldCharType="separate"/>
      </w:r>
      <w:r>
        <w:rPr>
          <w:color w:val="auto"/>
          <w:sz w:val="32"/>
          <w:highlight w:val="none"/>
        </w:rPr>
        <w:t xml:space="preserve">3</w:t>
      </w:r>
      <w:r>
        <w:rPr>
          <w:color w:val="auto"/>
          <w:sz w:val="32"/>
          <w:highlight w:val="none"/>
        </w:rPr>
        <w:fldChar w:fldCharType="end"/>
      </w:r>
      <w:r/>
    </w:p>
    <w:p>
      <w:pPr>
        <w:pStyle w:val="1036"/>
        <w:tabs>
          <w:tab w:val="right" w:pos="8296" w:leader="dot"/>
        </w:tabs>
        <w:rPr>
          <w:color w:val="auto"/>
          <w:sz w:val="32"/>
          <w:highlight w:val="none"/>
        </w:rPr>
      </w:pPr>
      <w:r>
        <w:rPr>
          <w:rFonts w:hint="eastAsia" w:ascii="黑体" w:hAnsi="黑体" w:eastAsia="黑体"/>
          <w:color w:val="auto"/>
          <w:sz w:val="32"/>
          <w:highlight w:val="none"/>
        </w:rPr>
        <w:t xml:space="preserve">第二章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投标人须知</w:t>
      </w:r>
      <w:r>
        <w:rPr>
          <w:color w:val="auto"/>
          <w:sz w:val="32"/>
          <w:highlight w:val="none"/>
        </w:rPr>
        <w:tab/>
      </w:r>
      <w:r>
        <w:rPr>
          <w:color w:val="auto"/>
          <w:sz w:val="32"/>
          <w:highlight w:val="none"/>
        </w:rPr>
        <w:fldChar w:fldCharType="begin"/>
      </w:r>
      <w:r>
        <w:rPr>
          <w:color w:val="auto"/>
          <w:sz w:val="32"/>
          <w:highlight w:val="none"/>
        </w:rPr>
        <w:instrText xml:space="preserve"> PAGEREF _Toc155796357 \h </w:instrText>
      </w:r>
      <w:r>
        <w:rPr>
          <w:color w:val="auto"/>
          <w:sz w:val="32"/>
          <w:highlight w:val="none"/>
        </w:rPr>
        <w:fldChar w:fldCharType="separate"/>
      </w:r>
      <w:r>
        <w:rPr>
          <w:color w:val="auto"/>
          <w:sz w:val="32"/>
          <w:highlight w:val="none"/>
        </w:rPr>
        <w:t xml:space="preserve">7</w:t>
      </w:r>
      <w:r>
        <w:rPr>
          <w:color w:val="auto"/>
          <w:sz w:val="32"/>
          <w:highlight w:val="none"/>
        </w:rPr>
        <w:fldChar w:fldCharType="end"/>
      </w:r>
      <w:r/>
    </w:p>
    <w:p>
      <w:pPr>
        <w:pStyle w:val="1036"/>
        <w:tabs>
          <w:tab w:val="right" w:pos="8296" w:leader="dot"/>
        </w:tabs>
        <w:rPr>
          <w:color w:val="auto"/>
          <w:sz w:val="32"/>
          <w:highlight w:val="none"/>
        </w:rPr>
      </w:pPr>
      <w:r>
        <w:rPr>
          <w:rFonts w:hint="eastAsia" w:ascii="黑体" w:hAnsi="黑体" w:eastAsia="黑体"/>
          <w:color w:val="auto"/>
          <w:sz w:val="32"/>
          <w:highlight w:val="none"/>
        </w:rPr>
        <w:t xml:space="preserve">第三章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合同文本</w:t>
      </w:r>
      <w:r>
        <w:rPr>
          <w:color w:val="auto"/>
          <w:sz w:val="32"/>
          <w:highlight w:val="none"/>
        </w:rPr>
        <w:tab/>
      </w:r>
      <w:r>
        <w:rPr>
          <w:color w:val="auto"/>
          <w:sz w:val="32"/>
          <w:highlight w:val="none"/>
        </w:rPr>
        <w:fldChar w:fldCharType="begin"/>
      </w:r>
      <w:r>
        <w:rPr>
          <w:color w:val="auto"/>
          <w:sz w:val="32"/>
          <w:highlight w:val="none"/>
        </w:rPr>
        <w:instrText xml:space="preserve"> PAGEREF _Toc155796358 \h </w:instrText>
      </w:r>
      <w:r>
        <w:rPr>
          <w:color w:val="auto"/>
          <w:sz w:val="32"/>
          <w:highlight w:val="none"/>
        </w:rPr>
        <w:fldChar w:fldCharType="separate"/>
      </w:r>
      <w:r>
        <w:rPr>
          <w:color w:val="auto"/>
          <w:sz w:val="32"/>
          <w:highlight w:val="none"/>
        </w:rPr>
        <w:t xml:space="preserve">22</w:t>
      </w:r>
      <w:r>
        <w:rPr>
          <w:color w:val="auto"/>
          <w:sz w:val="32"/>
          <w:highlight w:val="none"/>
        </w:rPr>
        <w:fldChar w:fldCharType="end"/>
      </w:r>
      <w:r/>
    </w:p>
    <w:p>
      <w:pPr>
        <w:pStyle w:val="1036"/>
        <w:tabs>
          <w:tab w:val="right" w:pos="8296" w:leader="dot"/>
        </w:tabs>
        <w:rPr>
          <w:color w:val="auto"/>
          <w:sz w:val="32"/>
          <w:highlight w:val="none"/>
        </w:rPr>
      </w:pPr>
      <w:r>
        <w:rPr>
          <w:rFonts w:hint="eastAsia" w:ascii="黑体" w:hAnsi="黑体" w:eastAsia="黑体"/>
          <w:color w:val="auto"/>
          <w:sz w:val="32"/>
          <w:highlight w:val="none"/>
        </w:rPr>
        <w:t xml:space="preserve">第四章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采购需求</w:t>
      </w:r>
      <w:r>
        <w:rPr>
          <w:color w:val="auto"/>
          <w:sz w:val="32"/>
          <w:highlight w:val="none"/>
        </w:rPr>
        <w:tab/>
      </w:r>
      <w:r>
        <w:rPr>
          <w:rFonts w:hint="eastAsia"/>
          <w:color w:val="auto"/>
          <w:sz w:val="32"/>
          <w:highlight w:val="none"/>
        </w:rPr>
        <w:t xml:space="preserve">25</w:t>
      </w:r>
      <w:r/>
    </w:p>
    <w:p>
      <w:pPr>
        <w:pStyle w:val="1036"/>
        <w:tabs>
          <w:tab w:val="right" w:pos="8296" w:leader="dot"/>
        </w:tabs>
        <w:rPr>
          <w:color w:val="auto"/>
          <w:sz w:val="32"/>
          <w:highlight w:val="none"/>
        </w:rPr>
      </w:pPr>
      <w:r>
        <w:rPr>
          <w:rFonts w:hint="eastAsia" w:ascii="黑体" w:hAnsi="黑体" w:eastAsia="黑体"/>
          <w:color w:val="auto"/>
          <w:sz w:val="32"/>
          <w:highlight w:val="none"/>
        </w:rPr>
        <w:t xml:space="preserve">第五章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评标方法与评标标准</w:t>
      </w:r>
      <w:r>
        <w:rPr>
          <w:color w:val="auto"/>
          <w:sz w:val="32"/>
          <w:highlight w:val="none"/>
        </w:rPr>
        <w:tab/>
      </w:r>
      <w:r>
        <w:rPr>
          <w:color w:val="auto"/>
          <w:sz w:val="32"/>
          <w:highlight w:val="none"/>
        </w:rPr>
        <w:fldChar w:fldCharType="begin"/>
      </w:r>
      <w:r>
        <w:rPr>
          <w:color w:val="auto"/>
          <w:sz w:val="32"/>
          <w:highlight w:val="none"/>
        </w:rPr>
        <w:instrText xml:space="preserve"> PAGEREF _Toc155796360 \h </w:instrText>
      </w:r>
      <w:r>
        <w:rPr>
          <w:color w:val="auto"/>
          <w:sz w:val="32"/>
          <w:highlight w:val="none"/>
        </w:rPr>
        <w:fldChar w:fldCharType="separate"/>
      </w:r>
      <w:r>
        <w:rPr>
          <w:color w:val="auto"/>
          <w:sz w:val="32"/>
          <w:highlight w:val="none"/>
        </w:rPr>
        <w:t xml:space="preserve">30</w:t>
      </w:r>
      <w:r>
        <w:rPr>
          <w:color w:val="auto"/>
          <w:sz w:val="32"/>
          <w:highlight w:val="none"/>
        </w:rPr>
        <w:fldChar w:fldCharType="end"/>
      </w:r>
      <w:r/>
    </w:p>
    <w:p>
      <w:pPr>
        <w:pStyle w:val="1036"/>
        <w:tabs>
          <w:tab w:val="right" w:pos="8296" w:leader="dot"/>
        </w:tabs>
        <w:rPr>
          <w:color w:val="auto"/>
          <w:sz w:val="32"/>
          <w:highlight w:val="none"/>
        </w:rPr>
      </w:pPr>
      <w:r>
        <w:rPr>
          <w:rFonts w:hint="eastAsia" w:ascii="黑体" w:hAnsi="黑体" w:eastAsia="黑体"/>
          <w:color w:val="auto"/>
          <w:sz w:val="32"/>
          <w:highlight w:val="none"/>
        </w:rPr>
        <w:t xml:space="preserve">第六章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投标文件格式</w:t>
      </w:r>
      <w:r>
        <w:rPr>
          <w:color w:val="auto"/>
          <w:sz w:val="32"/>
          <w:highlight w:val="none"/>
        </w:rPr>
        <w:tab/>
      </w:r>
      <w:r>
        <w:rPr>
          <w:color w:val="auto"/>
          <w:sz w:val="32"/>
          <w:highlight w:val="none"/>
        </w:rPr>
        <w:fldChar w:fldCharType="begin"/>
      </w:r>
      <w:r>
        <w:rPr>
          <w:color w:val="auto"/>
          <w:sz w:val="32"/>
          <w:highlight w:val="none"/>
        </w:rPr>
        <w:instrText xml:space="preserve"> PAGEREF _Toc155796361 \h </w:instrText>
      </w:r>
      <w:r>
        <w:rPr>
          <w:color w:val="auto"/>
          <w:sz w:val="32"/>
          <w:highlight w:val="none"/>
        </w:rPr>
        <w:fldChar w:fldCharType="separate"/>
      </w:r>
      <w:r>
        <w:rPr>
          <w:color w:val="auto"/>
          <w:sz w:val="32"/>
          <w:highlight w:val="none"/>
        </w:rPr>
        <w:t xml:space="preserve">33</w:t>
      </w:r>
      <w:r>
        <w:rPr>
          <w:color w:val="auto"/>
          <w:sz w:val="32"/>
          <w:highlight w:val="none"/>
        </w:rPr>
        <w:fldChar w:fldCharType="end"/>
      </w:r>
      <w:r/>
    </w:p>
    <w:p>
      <w:pPr>
        <w:jc w:val="left"/>
        <w:widowControl/>
        <w:rPr>
          <w:color w:val="auto"/>
          <w:highlight w:val="none"/>
        </w:rPr>
      </w:pPr>
      <w:r>
        <w:rPr>
          <w:color w:val="auto"/>
          <w:highlight w:val="none"/>
        </w:rPr>
        <w:fldChar w:fldCharType="end"/>
      </w:r>
      <w:r>
        <w:rPr>
          <w:color w:val="auto"/>
          <w:highlight w:val="none"/>
        </w:rPr>
        <w:br w:type="page" w:clear="all"/>
      </w:r>
      <w:r/>
    </w:p>
    <w:p>
      <w:pPr>
        <w:pStyle w:val="1012"/>
        <w:jc w:val="center"/>
        <w:spacing w:before="0" w:after="0" w:line="240" w:lineRule="auto"/>
        <w:rPr>
          <w:rFonts w:hint="eastAsia" w:ascii="黑体" w:hAnsi="黑体" w:eastAsia="黑体"/>
          <w:b w:val="0"/>
          <w:color w:val="auto"/>
          <w:highlight w:val="none"/>
        </w:rPr>
      </w:pPr>
      <w:r/>
      <w:bookmarkStart w:id="0" w:name="_Toc155796356"/>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ascii="宋体" w:hAnsi="宋体" w:cs="宋体"/>
          <w:color w:val="auto"/>
          <w:sz w:val="24"/>
          <w:szCs w:val="24"/>
          <w:highlight w:val="none"/>
          <w:u w:val="single"/>
        </w:rPr>
        <w:t xml:space="preserve">连云港市赣榆区自然资源和规划局</w:t>
      </w:r>
      <w:r>
        <w:rPr>
          <w:rFonts w:hint="eastAsia"/>
          <w:color w:val="auto"/>
          <w:sz w:val="24"/>
          <w:szCs w:val="24"/>
          <w:highlight w:val="none"/>
        </w:rPr>
        <w:t xml:space="preserve">的委托，</w:t>
      </w:r>
      <w:r>
        <w:rPr>
          <w:rFonts w:hint="eastAsia"/>
          <w:color w:val="auto"/>
          <w:sz w:val="24"/>
          <w:szCs w:val="24"/>
          <w:highlight w:val="none"/>
          <w:u w:val="single"/>
        </w:rPr>
        <w:t xml:space="preserve">江苏宝宏项目管理咨询有限公司</w:t>
      </w:r>
      <w:r>
        <w:rPr>
          <w:rFonts w:hint="eastAsia"/>
          <w:color w:val="auto"/>
          <w:sz w:val="24"/>
          <w:szCs w:val="24"/>
          <w:highlight w:val="none"/>
        </w:rPr>
        <w:t xml:space="preserve">就</w:t>
      </w:r>
      <w:r>
        <w:rPr>
          <w:rFonts w:hint="eastAsia"/>
          <w:color w:val="auto"/>
          <w:sz w:val="24"/>
          <w:szCs w:val="24"/>
          <w:highlight w:val="none"/>
          <w:u w:val="single"/>
        </w:rPr>
        <w:t xml:space="preserve">2026年浒苔大型驳船租赁项目（专门面向中小企业）</w:t>
      </w:r>
      <w:r>
        <w:rPr>
          <w:rFonts w:hint="eastAsia"/>
          <w:color w:val="auto"/>
          <w:sz w:val="24"/>
          <w:szCs w:val="24"/>
          <w:highlight w:val="none"/>
        </w:rPr>
        <w:t xml:space="preserve">（项目编号：JSZC-320707-BHXM-G2026-0005）进行公开招标采购，欢迎符合条件的供应商投标。</w:t>
      </w:r>
      <w:r/>
    </w:p>
    <w:tbl>
      <w:tblPr>
        <w:tblStyle w:val="8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ind w:firstLine="480"/>
              <w:jc w:val="left"/>
              <w:spacing w:line="500" w:lineRule="exact"/>
              <w:rPr>
                <w:color w:val="auto"/>
                <w:sz w:val="24"/>
                <w:szCs w:val="24"/>
                <w:highlight w:val="none"/>
              </w:rPr>
            </w:pPr>
            <w:r>
              <w:rPr>
                <w:rFonts w:hint="eastAsia"/>
                <w:color w:val="auto"/>
                <w:sz w:val="24"/>
                <w:szCs w:val="24"/>
                <w:highlight w:val="none"/>
                <w:u w:val="single"/>
              </w:rPr>
              <w:t xml:space="preserve">2026年浒苔大型驳船租赁项目（专门面向中小企业）</w:t>
            </w:r>
            <w:r>
              <w:rPr>
                <w:rFonts w:hint="eastAsia"/>
                <w:color w:val="auto"/>
                <w:sz w:val="24"/>
                <w:szCs w:val="24"/>
                <w:highlight w:val="none"/>
              </w:rPr>
              <w:t xml:space="preserve">的潜在投标人应在江苏政府采购网自行免费下载招标文件，并于2026年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04</w:t>
            </w:r>
            <w:r>
              <w:rPr>
                <w:rFonts w:hint="eastAsia"/>
                <w:color w:val="auto"/>
                <w:sz w:val="24"/>
                <w:szCs w:val="24"/>
                <w:highlight w:val="none"/>
              </w:rPr>
              <w:t xml:space="preserve">日09:00:00（北京时间）前递交（上传）投标文件。</w:t>
            </w:r>
            <w:r/>
          </w:p>
        </w:tc>
      </w:tr>
    </w:tbl>
    <w:p>
      <w:pPr>
        <w:pStyle w:val="1013"/>
        <w:spacing w:before="0" w:after="0" w:line="450" w:lineRule="exact"/>
        <w:rPr>
          <w:rFonts w:hint="eastAsia"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450" w:lineRule="exact"/>
        <w:rPr>
          <w:color w:val="auto"/>
          <w:sz w:val="24"/>
          <w:szCs w:val="24"/>
          <w:highlight w:val="none"/>
        </w:rPr>
      </w:pPr>
      <w:r>
        <w:rPr>
          <w:rFonts w:hint="eastAsia"/>
          <w:color w:val="auto"/>
          <w:sz w:val="24"/>
          <w:szCs w:val="24"/>
          <w:highlight w:val="none"/>
        </w:rPr>
        <w:t xml:space="preserve">项目编号：JSZC-320707-BHXM-G2026-0005 </w:t>
      </w:r>
      <w:r/>
    </w:p>
    <w:p>
      <w:pPr>
        <w:ind w:firstLine="480"/>
        <w:jc w:val="left"/>
        <w:spacing w:line="450" w:lineRule="exact"/>
        <w:rPr>
          <w:color w:val="auto"/>
          <w:sz w:val="24"/>
          <w:szCs w:val="24"/>
          <w:highlight w:val="none"/>
        </w:rPr>
      </w:pPr>
      <w:r>
        <w:rPr>
          <w:rFonts w:hint="eastAsia"/>
          <w:color w:val="auto"/>
          <w:sz w:val="24"/>
          <w:szCs w:val="24"/>
          <w:highlight w:val="none"/>
        </w:rPr>
        <w:t xml:space="preserve">项目名称：2026年浒苔大型驳船租赁项目（专门面向中小企业）</w:t>
      </w:r>
      <w:r/>
    </w:p>
    <w:p>
      <w:pPr>
        <w:ind w:firstLine="480"/>
        <w:jc w:val="left"/>
        <w:spacing w:line="450" w:lineRule="exact"/>
        <w:rPr>
          <w:color w:val="auto"/>
          <w:sz w:val="24"/>
          <w:szCs w:val="24"/>
          <w:highlight w:val="none"/>
        </w:rPr>
      </w:pPr>
      <w:r>
        <w:rPr>
          <w:rFonts w:hint="eastAsia"/>
          <w:color w:val="auto"/>
          <w:sz w:val="24"/>
          <w:szCs w:val="24"/>
          <w:highlight w:val="none"/>
        </w:rPr>
        <w:t xml:space="preserve">预算金额：400万元。</w:t>
      </w:r>
      <w:r/>
    </w:p>
    <w:p>
      <w:pPr>
        <w:ind w:firstLine="482"/>
        <w:spacing w:line="450" w:lineRule="exact"/>
        <w:rPr>
          <w:rFonts w:hint="eastAsia" w:ascii="宋体" w:hAnsi="宋体" w:cs="宋体"/>
          <w:b/>
          <w:bCs/>
          <w:color w:val="auto"/>
          <w:spacing w:val="-1"/>
          <w:sz w:val="24"/>
          <w:highlight w:val="none"/>
        </w:rPr>
      </w:pPr>
      <w:r>
        <w:rPr>
          <w:rFonts w:hint="eastAsia"/>
          <w:color w:val="auto"/>
          <w:sz w:val="24"/>
          <w:szCs w:val="24"/>
          <w:highlight w:val="none"/>
        </w:rPr>
        <w:t xml:space="preserve">最高限价：</w:t>
      </w:r>
      <w:r>
        <w:rPr>
          <w:rFonts w:hint="eastAsia"/>
          <w:b/>
          <w:bCs/>
          <w:color w:val="auto"/>
          <w:sz w:val="24"/>
          <w:szCs w:val="24"/>
          <w:highlight w:val="none"/>
        </w:rPr>
        <w:t xml:space="preserve">投标总价最高限价400万元</w:t>
      </w:r>
      <w:r>
        <w:rPr>
          <w:rFonts w:hint="eastAsia" w:eastAsia="宋体" w:cs="Times New Roman"/>
          <w:b/>
          <w:bCs/>
          <w:color w:val="auto"/>
          <w:sz w:val="24"/>
          <w:szCs w:val="24"/>
          <w:highlight w:val="none"/>
          <w:lang w:eastAsia="zh-CN"/>
        </w:rPr>
        <w:t xml:space="preserve">（</w:t>
      </w:r>
      <w:r>
        <w:rPr>
          <w:rFonts w:hint="eastAsia" w:eastAsia="宋体" w:cs="Times New Roman"/>
          <w:b/>
          <w:bCs/>
          <w:color w:val="auto"/>
          <w:sz w:val="24"/>
          <w:szCs w:val="24"/>
          <w:highlight w:val="none"/>
          <w:lang w:val="en-US" w:eastAsia="zh-CN"/>
        </w:rPr>
        <w:t xml:space="preserve">其中</w:t>
      </w:r>
      <w:r>
        <w:rPr>
          <w:rFonts w:hint="eastAsia" w:eastAsia="宋体" w:cs="Times New Roman"/>
          <w:b/>
          <w:bCs/>
          <w:color w:val="auto"/>
          <w:sz w:val="24"/>
          <w:szCs w:val="24"/>
          <w:highlight w:val="none"/>
        </w:rPr>
        <w:t xml:space="preserve">转运</w:t>
      </w:r>
      <w:r>
        <w:rPr>
          <w:rFonts w:hint="eastAsia" w:eastAsia="宋体" w:cs="Times New Roman"/>
          <w:b/>
          <w:bCs/>
          <w:color w:val="auto"/>
          <w:sz w:val="24"/>
          <w:szCs w:val="24"/>
          <w:highlight w:val="none"/>
          <w:lang w:val="en-US" w:eastAsia="zh-CN"/>
        </w:rPr>
        <w:t xml:space="preserve">租赁费</w:t>
      </w:r>
      <w:r>
        <w:rPr>
          <w:rFonts w:hint="eastAsia"/>
          <w:b/>
          <w:bCs/>
          <w:color w:val="auto"/>
          <w:sz w:val="24"/>
          <w:szCs w:val="24"/>
          <w:highlight w:val="none"/>
        </w:rPr>
        <w:t xml:space="preserve">最高限价</w:t>
      </w:r>
      <w:r>
        <w:rPr>
          <w:rFonts w:hint="eastAsia" w:eastAsia="宋体" w:cs="Times New Roman"/>
          <w:b/>
          <w:bCs/>
          <w:color w:val="auto"/>
          <w:sz w:val="24"/>
          <w:szCs w:val="24"/>
          <w:highlight w:val="none"/>
          <w:lang w:val="en-US" w:eastAsia="zh-CN"/>
        </w:rPr>
        <w:t xml:space="preserve">320万元，</w:t>
      </w:r>
      <w:r>
        <w:rPr>
          <w:rFonts w:hint="eastAsia" w:eastAsia="宋体" w:cs="Times New Roman"/>
          <w:b/>
          <w:bCs/>
          <w:color w:val="auto"/>
          <w:sz w:val="24"/>
          <w:szCs w:val="24"/>
          <w:highlight w:val="none"/>
        </w:rPr>
        <w:t xml:space="preserve">自动化打捞</w:t>
      </w:r>
      <w:r>
        <w:rPr>
          <w:rFonts w:hint="eastAsia" w:eastAsia="宋体" w:cs="Times New Roman"/>
          <w:b/>
          <w:bCs/>
          <w:color w:val="auto"/>
          <w:sz w:val="24"/>
          <w:szCs w:val="24"/>
          <w:highlight w:val="none"/>
          <w:lang w:val="en-US" w:eastAsia="zh-CN"/>
        </w:rPr>
        <w:t xml:space="preserve">奖补费用</w:t>
      </w:r>
      <w:r>
        <w:rPr>
          <w:rFonts w:hint="eastAsia" w:cs="Times New Roman"/>
          <w:b/>
          <w:bCs/>
          <w:color w:val="auto"/>
          <w:sz w:val="24"/>
          <w:szCs w:val="24"/>
          <w:highlight w:val="none"/>
          <w:lang w:val="en-US" w:eastAsia="zh-CN"/>
        </w:rPr>
        <w:t xml:space="preserve">最高限价</w:t>
      </w:r>
      <w:r>
        <w:rPr>
          <w:rFonts w:hint="eastAsia" w:eastAsia="宋体" w:cs="Times New Roman"/>
          <w:b/>
          <w:bCs/>
          <w:color w:val="auto"/>
          <w:sz w:val="24"/>
          <w:szCs w:val="24"/>
          <w:highlight w:val="none"/>
          <w:lang w:val="en-US" w:eastAsia="zh-CN"/>
        </w:rPr>
        <w:t xml:space="preserve">80万元</w:t>
      </w:r>
      <w:r>
        <w:rPr>
          <w:rFonts w:hint="eastAsia" w:eastAsia="宋体" w:cs="Times New Roman"/>
          <w:b/>
          <w:bCs/>
          <w:color w:val="auto"/>
          <w:sz w:val="24"/>
          <w:szCs w:val="24"/>
          <w:highlight w:val="none"/>
          <w:lang w:eastAsia="zh-CN"/>
        </w:rPr>
        <w:t xml:space="preserve">）</w:t>
      </w:r>
      <w:r>
        <w:rPr>
          <w:rFonts w:hint="eastAsia"/>
          <w:b/>
          <w:bCs/>
          <w:color w:val="auto"/>
          <w:sz w:val="24"/>
          <w:szCs w:val="24"/>
          <w:highlight w:val="none"/>
        </w:rPr>
        <w:t xml:space="preserve">，</w:t>
      </w:r>
      <w:r>
        <w:rPr>
          <w:rFonts w:hint="eastAsia" w:eastAsia="宋体" w:cs="Times New Roman"/>
          <w:b/>
          <w:bCs/>
          <w:color w:val="auto"/>
          <w:sz w:val="24"/>
          <w:szCs w:val="24"/>
          <w:highlight w:val="none"/>
        </w:rPr>
        <w:t xml:space="preserve">转运</w:t>
      </w:r>
      <w:r>
        <w:rPr>
          <w:rFonts w:hint="eastAsia" w:eastAsia="宋体" w:cs="Times New Roman"/>
          <w:b/>
          <w:bCs/>
          <w:color w:val="auto"/>
          <w:sz w:val="24"/>
          <w:szCs w:val="24"/>
          <w:highlight w:val="none"/>
          <w:lang w:val="en-US" w:eastAsia="zh-CN"/>
        </w:rPr>
        <w:t xml:space="preserve">租赁费单价</w:t>
      </w:r>
      <w:r>
        <w:rPr>
          <w:rFonts w:hint="eastAsia" w:ascii="宋体" w:hAnsi="宋体" w:cs="宋体"/>
          <w:b/>
          <w:bCs/>
          <w:color w:val="auto"/>
          <w:sz w:val="24"/>
          <w:highlight w:val="none"/>
          <w:shd w:val="clear" w:color="auto" w:fill="ffffff"/>
        </w:rPr>
        <w:t xml:space="preserve">最高</w:t>
      </w:r>
      <w:r>
        <w:rPr>
          <w:rFonts w:hint="eastAsia" w:ascii="宋体" w:hAnsi="宋体" w:cs="宋体"/>
          <w:b/>
          <w:bCs/>
          <w:color w:val="auto"/>
          <w:spacing w:val="-1"/>
          <w:sz w:val="24"/>
          <w:highlight w:val="none"/>
        </w:rPr>
        <w:t xml:space="preserve">限价</w:t>
      </w:r>
      <w:r>
        <w:rPr>
          <w:rFonts w:hint="eastAsia" w:ascii="宋体" w:hAnsi="宋体" w:cs="宋体"/>
          <w:b/>
          <w:bCs/>
          <w:color w:val="auto"/>
          <w:sz w:val="24"/>
          <w:highlight w:val="none"/>
          <w:u w:val="none"/>
          <w:lang w:val="en-US" w:eastAsia="zh-CN"/>
        </w:rPr>
        <w:t xml:space="preserve">80000.00</w:t>
      </w:r>
      <w:r>
        <w:rPr>
          <w:rFonts w:hint="eastAsia" w:ascii="宋体" w:hAnsi="宋体" w:cs="宋体"/>
          <w:b/>
          <w:bCs/>
          <w:color w:val="auto"/>
          <w:sz w:val="24"/>
          <w:highlight w:val="none"/>
          <w:u w:val="none"/>
        </w:rPr>
        <w:t xml:space="preserve">元/天</w:t>
      </w:r>
      <w:r>
        <w:rPr>
          <w:rFonts w:hint="eastAsia" w:ascii="宋体" w:hAnsi="宋体" w:cs="宋体"/>
          <w:b/>
          <w:bCs/>
          <w:color w:val="auto"/>
          <w:sz w:val="24"/>
          <w:highlight w:val="none"/>
          <w:u w:val="none"/>
          <w:lang w:eastAsia="zh-CN"/>
        </w:rPr>
        <w:t xml:space="preserve">、</w:t>
      </w:r>
      <w:r>
        <w:rPr>
          <w:rFonts w:hint="eastAsia" w:ascii="宋体" w:hAnsi="宋体" w:cs="宋体"/>
          <w:b/>
          <w:bCs/>
          <w:color w:val="auto"/>
          <w:sz w:val="24"/>
          <w:highlight w:val="none"/>
          <w:u w:val="none"/>
          <w:lang w:val="en-US" w:eastAsia="zh-CN"/>
        </w:rPr>
        <w:t xml:space="preserve">自动化打捞奖补费参照上级主管部门标准视具体情况执行，最终按实结算</w:t>
      </w:r>
      <w:r>
        <w:rPr>
          <w:rFonts w:hint="eastAsia" w:ascii="宋体" w:hAnsi="宋体" w:cs="宋体"/>
          <w:b/>
          <w:bCs/>
          <w:color w:val="auto"/>
          <w:sz w:val="24"/>
          <w:highlight w:val="none"/>
        </w:rPr>
        <w:t xml:space="preserve">；</w:t>
      </w:r>
      <w:r>
        <w:rPr>
          <w:rFonts w:hint="eastAsia" w:ascii="宋体" w:hAnsi="宋体" w:cs="宋体"/>
          <w:b/>
          <w:bCs/>
          <w:color w:val="auto"/>
          <w:spacing w:val="-3"/>
          <w:sz w:val="24"/>
          <w:highlight w:val="none"/>
        </w:rPr>
        <w:t xml:space="preserve">投标报价超过最高限价</w:t>
      </w:r>
      <w:r>
        <w:rPr>
          <w:rFonts w:hint="eastAsia" w:ascii="宋体" w:hAnsi="宋体" w:cs="宋体"/>
          <w:b/>
          <w:bCs/>
          <w:color w:val="auto"/>
          <w:spacing w:val="-1"/>
          <w:sz w:val="24"/>
          <w:highlight w:val="none"/>
        </w:rPr>
        <w:t xml:space="preserve">按照无效响应处理。</w:t>
      </w:r>
      <w:r/>
    </w:p>
    <w:p>
      <w:pPr>
        <w:ind w:firstLine="480"/>
        <w:jc w:val="left"/>
        <w:spacing w:line="450" w:lineRule="exact"/>
        <w:rPr>
          <w:color w:val="auto"/>
          <w:sz w:val="24"/>
          <w:szCs w:val="24"/>
          <w:highlight w:val="none"/>
        </w:rPr>
      </w:pPr>
      <w:r>
        <w:rPr>
          <w:rFonts w:hint="eastAsia"/>
          <w:color w:val="auto"/>
          <w:sz w:val="24"/>
          <w:szCs w:val="24"/>
          <w:highlight w:val="none"/>
        </w:rPr>
        <w:t xml:space="preserve">采购方式：公开招标</w:t>
      </w:r>
      <w:r/>
    </w:p>
    <w:p>
      <w:pPr>
        <w:ind w:firstLine="480"/>
        <w:jc w:val="left"/>
        <w:spacing w:line="450" w:lineRule="exact"/>
        <w:rPr>
          <w:color w:val="auto"/>
          <w:sz w:val="24"/>
          <w:szCs w:val="24"/>
          <w:highlight w:val="none"/>
        </w:rPr>
      </w:pPr>
      <w:r>
        <w:rPr>
          <w:rFonts w:hint="eastAsia"/>
          <w:color w:val="auto"/>
          <w:sz w:val="24"/>
          <w:szCs w:val="24"/>
          <w:highlight w:val="none"/>
        </w:rPr>
        <w:t xml:space="preserve">采购需求：</w:t>
      </w:r>
      <w:r>
        <w:rPr>
          <w:rFonts w:hint="eastAsia" w:ascii="宋体" w:hAnsi="宋体" w:cs="宋体"/>
          <w:color w:val="auto"/>
          <w:sz w:val="24"/>
          <w:szCs w:val="24"/>
          <w:highlight w:val="none"/>
        </w:rPr>
        <w:t xml:space="preserve">1.大型驳船具备储运、冷藏保鲜等功能，能够从事浒苔转运相关工作;2.具备浒苔自动化打捞功能，配备相关自动化打捞设备从事浒苔打捞工作。具体要求详见项目需求。</w:t>
      </w:r>
      <w:r/>
    </w:p>
    <w:p>
      <w:pPr>
        <w:ind w:firstLine="482"/>
        <w:jc w:val="left"/>
        <w:spacing w:line="450" w:lineRule="exact"/>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spacing w:line="450" w:lineRule="exact"/>
        <w:rPr>
          <w:rFonts w:hint="eastAsia" w:ascii="宋体" w:hAnsi="宋体" w:cs="宋体"/>
          <w:color w:val="auto"/>
          <w:sz w:val="24"/>
          <w:szCs w:val="28"/>
          <w:highlight w:val="none"/>
        </w:rPr>
      </w:pPr>
      <w:r>
        <w:rPr>
          <w:rFonts w:hint="eastAsia"/>
          <w:color w:val="auto"/>
          <w:sz w:val="24"/>
          <w:szCs w:val="24"/>
          <w:highlight w:val="none"/>
        </w:rPr>
        <w:t xml:space="preserve">服务期限：按照采购人及上级主管部门要求</w:t>
      </w:r>
      <w:r>
        <w:rPr>
          <w:rFonts w:hint="eastAsia" w:ascii="宋体" w:hAnsi="宋体" w:cs="宋体"/>
          <w:color w:val="auto"/>
          <w:sz w:val="24"/>
          <w:szCs w:val="28"/>
          <w:highlight w:val="none"/>
        </w:rPr>
        <w:t xml:space="preserve">，具体时间以实际服务天数为准。</w:t>
      </w:r>
      <w:r/>
    </w:p>
    <w:p>
      <w:pPr>
        <w:ind w:firstLine="480"/>
        <w:jc w:val="left"/>
        <w:spacing w:line="450" w:lineRule="exact"/>
        <w:rPr>
          <w:color w:val="auto"/>
          <w:sz w:val="24"/>
          <w:szCs w:val="24"/>
          <w:highlight w:val="none"/>
        </w:rPr>
      </w:pPr>
      <w:r>
        <w:rPr>
          <w:rFonts w:hint="eastAsia"/>
          <w:color w:val="auto"/>
          <w:sz w:val="24"/>
          <w:szCs w:val="24"/>
          <w:highlight w:val="none"/>
        </w:rPr>
        <w:t xml:space="preserve">本项目（是/否）接受联合体投标：不接受联合体</w:t>
      </w:r>
      <w:r/>
    </w:p>
    <w:p>
      <w:pPr>
        <w:pStyle w:val="1013"/>
        <w:spacing w:before="0" w:after="0" w:line="450" w:lineRule="exact"/>
        <w:rPr>
          <w:rFonts w:hint="eastAsia"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spacing w:line="450" w:lineRule="exact"/>
        <w:rPr>
          <w:b/>
          <w:bCs/>
          <w:color w:val="auto"/>
          <w:sz w:val="24"/>
          <w:highlight w:val="none"/>
        </w:rPr>
      </w:pPr>
      <w:r>
        <w:rPr>
          <w:b/>
          <w:bCs/>
          <w:color w:val="auto"/>
          <w:sz w:val="24"/>
          <w:highlight w:val="none"/>
        </w:rPr>
        <w:t xml:space="preserve">（一）满足《中华人民共和国政府采购法》第二十二条规定，并提供下列材料：</w:t>
      </w:r>
      <w:r/>
    </w:p>
    <w:p>
      <w:pPr>
        <w:ind w:firstLine="480"/>
        <w:spacing w:line="45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1.法人或者其他组织的营业执照等证明文件，自然人的身份证明；</w:t>
      </w:r>
      <w:r/>
    </w:p>
    <w:p>
      <w:pPr>
        <w:ind w:firstLine="480"/>
        <w:spacing w:line="45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2.具有良好的商业信誉和健全的财务会计制度；（按连财购〔2023〕4号文件要求，符合要求的提交《财务状况报告及税收、社会保障资金缴纳情况承诺函》，并上传至电子响应文件中，格式详见采购文件）； </w:t>
      </w:r>
      <w:r/>
    </w:p>
    <w:p>
      <w:pPr>
        <w:ind w:firstLine="480"/>
        <w:spacing w:line="45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3.依法缴纳税收和社会保障资金的相关材料；（按连财购〔2023〕4号文件要求，符合要求的提交《财务状况报告及税收、社会保障资金缴纳情况承诺函》，并上传至电子响应文件中，格式详见采购文件）； </w:t>
      </w:r>
      <w:r/>
    </w:p>
    <w:p>
      <w:pPr>
        <w:ind w:firstLine="480"/>
        <w:spacing w:line="45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4.具备履行合同所必需的设备和专业技术能力的声明及证明材料；</w:t>
      </w:r>
      <w:r/>
    </w:p>
    <w:p>
      <w:pPr>
        <w:ind w:firstLine="480"/>
        <w:spacing w:line="45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5.参加政府采购活动前3年内在经营活动中没有重大违法记录的书面声明；</w:t>
      </w:r>
      <w:r/>
    </w:p>
    <w:p>
      <w:pPr>
        <w:spacing w:line="450" w:lineRule="exact"/>
        <w:rPr>
          <w:color w:val="auto"/>
          <w:sz w:val="24"/>
          <w:highlight w:val="none"/>
        </w:rPr>
      </w:pPr>
      <w:r>
        <w:rPr>
          <w:b/>
          <w:bCs/>
          <w:color w:val="auto"/>
          <w:sz w:val="24"/>
          <w:highlight w:val="none"/>
        </w:rPr>
        <w:t xml:space="preserve">（二）落实政府采购政策需满足的资格要求</w:t>
      </w:r>
      <w:r>
        <w:rPr>
          <w:color w:val="auto"/>
          <w:sz w:val="24"/>
          <w:highlight w:val="none"/>
        </w:rPr>
        <w:t xml:space="preserve">：</w:t>
      </w:r>
      <w:r/>
    </w:p>
    <w:p>
      <w:pPr>
        <w:ind w:firstLine="480"/>
        <w:spacing w:line="450" w:lineRule="exact"/>
        <w:rPr>
          <w:rFonts w:asciiTheme="minorEastAsia" w:hAnsiTheme="minorEastAsia"/>
          <w:color w:val="auto"/>
          <w:sz w:val="24"/>
          <w:highlight w:val="none"/>
        </w:rPr>
      </w:pPr>
      <w:r>
        <w:rPr>
          <w:rFonts w:hint="eastAsia"/>
          <w:color w:val="auto"/>
          <w:sz w:val="24"/>
          <w:highlight w:val="none"/>
        </w:rPr>
        <w:t xml:space="preserve">1、</w:t>
      </w:r>
      <w:r>
        <w:rPr>
          <w:rFonts w:hint="eastAsia" w:asciiTheme="minorEastAsia" w:hAnsiTheme="minorEastAsia"/>
          <w:color w:val="auto"/>
          <w:sz w:val="24"/>
          <w:highlight w:val="none"/>
        </w:rPr>
        <w:t xml:space="preserve">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供《中小企业声明函》或《残疾人福利性单位声明函》或属于监狱企业的证明文件，详见采购文件。</w:t>
      </w:r>
      <w:r/>
    </w:p>
    <w:p>
      <w:pPr>
        <w:pStyle w:val="857"/>
        <w:ind w:firstLine="480"/>
        <w:jc w:val="both"/>
        <w:spacing w:before="0" w:beforeAutospacing="0" w:after="0" w:afterAutospacing="0" w:line="450" w:lineRule="exact"/>
        <w:widowControl w:val="off"/>
        <w:rPr>
          <w:rFonts w:hint="eastAsia"/>
          <w:color w:val="auto"/>
          <w:highlight w:val="none"/>
        </w:rPr>
      </w:pPr>
      <w:r>
        <w:rPr>
          <w:rFonts w:hint="eastAsia"/>
          <w:color w:val="auto"/>
          <w:highlight w:val="none"/>
        </w:rPr>
        <w:t xml:space="preserve">2</w:t>
      </w:r>
      <w:r>
        <w:rPr>
          <w:color w:val="auto"/>
          <w:highlight w:val="none"/>
        </w:rPr>
        <w:t xml:space="preserve">.支持绿色发展</w:t>
      </w:r>
      <w:r/>
    </w:p>
    <w:p>
      <w:pPr>
        <w:pStyle w:val="857"/>
        <w:ind w:firstLine="480"/>
        <w:jc w:val="both"/>
        <w:spacing w:before="0" w:beforeAutospacing="0" w:after="0" w:afterAutospacing="0" w:line="450" w:lineRule="exact"/>
        <w:widowControl w:val="off"/>
        <w:rPr>
          <w:rFonts w:hint="eastAsia"/>
          <w:color w:val="auto"/>
          <w:highlight w:val="none"/>
        </w:rPr>
      </w:pPr>
      <w:r>
        <w:rPr>
          <w:rFonts w:hint="eastAsia"/>
          <w:color w:val="auto"/>
          <w:highlight w:val="none"/>
        </w:rPr>
        <w:t xml:space="preserve">2</w:t>
      </w:r>
      <w:r>
        <w:rPr>
          <w:color w:val="auto"/>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color w:val="auto"/>
          <w:highlight w:val="none"/>
        </w:rPr>
        <w:t xml:space="preserve">供应商须按</w:t>
      </w:r>
      <w:r>
        <w:rPr>
          <w:rFonts w:hint="eastAsia"/>
          <w:color w:val="auto"/>
          <w:highlight w:val="none"/>
          <w:lang w:val="en-US" w:eastAsia="zh-CN"/>
        </w:rPr>
        <w:t xml:space="preserve">采购</w:t>
      </w:r>
      <w:r>
        <w:rPr>
          <w:rFonts w:hint="eastAsia"/>
          <w:color w:val="auto"/>
          <w:highlight w:val="none"/>
        </w:rPr>
        <w:t xml:space="preserve">文件要求提供相关产品认证证书。</w:t>
      </w:r>
      <w:r/>
    </w:p>
    <w:p>
      <w:pPr>
        <w:pStyle w:val="857"/>
        <w:ind w:firstLine="480"/>
        <w:jc w:val="both"/>
        <w:spacing w:before="0" w:beforeAutospacing="0" w:after="0" w:afterAutospacing="0" w:line="450" w:lineRule="exact"/>
        <w:widowControl w:val="off"/>
        <w:rPr>
          <w:rFonts w:hint="eastAsia"/>
          <w:color w:val="auto"/>
          <w:highlight w:val="none"/>
        </w:rPr>
      </w:pPr>
      <w:r>
        <w:rPr>
          <w:rFonts w:hint="eastAsia"/>
          <w:color w:val="auto"/>
          <w:highlight w:val="none"/>
        </w:rPr>
        <w:t xml:space="preserve">2</w:t>
      </w:r>
      <w:r>
        <w:rPr>
          <w:color w:val="auto"/>
          <w:highlight w:val="none"/>
        </w:rPr>
        <w:t xml:space="preserve">.2 为助力打好污染防治攻坚战，推广使用绿色包装，政府采购货物、工程和服务项目中涉及商品包装和快递包装的，</w:t>
      </w:r>
      <w:r>
        <w:rPr>
          <w:rFonts w:hint="eastAsia"/>
          <w:color w:val="auto"/>
          <w:highlight w:val="none"/>
        </w:rPr>
        <w:t xml:space="preserve">供应商</w:t>
      </w:r>
      <w:r>
        <w:rPr>
          <w:color w:val="auto"/>
          <w:highlight w:val="none"/>
        </w:rPr>
        <w:t xml:space="preserve">提供产品及相关快递服务的具体包装要求要参考《商品包装政府采购需求标准（试行）》、《快递包装政府采购需求标准（试行）》。</w:t>
      </w:r>
      <w:r/>
    </w:p>
    <w:p>
      <w:pPr>
        <w:pStyle w:val="857"/>
        <w:ind w:firstLine="480"/>
        <w:jc w:val="both"/>
        <w:spacing w:before="0" w:beforeAutospacing="0" w:after="0" w:afterAutospacing="0" w:line="450" w:lineRule="exact"/>
        <w:widowControl w:val="off"/>
        <w:rPr>
          <w:rFonts w:hint="eastAsia"/>
          <w:color w:val="auto"/>
          <w:highlight w:val="none"/>
        </w:rPr>
      </w:pPr>
      <w:r>
        <w:rPr>
          <w:rFonts w:hint="eastAsia"/>
          <w:color w:val="auto"/>
          <w:highlight w:val="none"/>
        </w:rPr>
        <w:t xml:space="preserve">2</w:t>
      </w:r>
      <w:r>
        <w:rPr>
          <w:color w:val="auto"/>
          <w:highlight w:val="none"/>
        </w:rPr>
        <w:t xml:space="preserve">.3政府采购项目执行《财政部生态环境部工业和信息化部关于印发&lt;绿色数据中心政府采购需求标准（试行)&gt;的通知》(财库〔2023〕7号）相关要求。</w:t>
      </w:r>
      <w:r/>
    </w:p>
    <w:p>
      <w:pPr>
        <w:pStyle w:val="857"/>
        <w:ind w:firstLine="480"/>
        <w:jc w:val="both"/>
        <w:spacing w:before="0" w:beforeAutospacing="0" w:after="0" w:afterAutospacing="0" w:line="450" w:lineRule="exact"/>
        <w:widowControl w:val="off"/>
        <w:rPr>
          <w:rFonts w:hint="eastAsia"/>
          <w:color w:val="auto"/>
          <w:highlight w:val="none"/>
        </w:rPr>
      </w:pPr>
      <w:r>
        <w:rPr>
          <w:rFonts w:hint="eastAsia"/>
          <w:color w:val="auto"/>
          <w:highlight w:val="none"/>
        </w:rPr>
        <w:t xml:space="preserve">2</w:t>
      </w:r>
      <w:r>
        <w:rPr>
          <w:color w:val="auto"/>
          <w:highlight w:val="none"/>
        </w:rPr>
        <w:t xml:space="preserve">.4落实挥发性有机化合物（VOCs）治理要求，政府采购项目中涉及涂料、胶黏剂、油墨、清洗剂等挥发性有机物产品的，属于强制性标准的，</w:t>
      </w:r>
      <w:r>
        <w:rPr>
          <w:rFonts w:hint="eastAsia"/>
          <w:color w:val="auto"/>
          <w:highlight w:val="none"/>
        </w:rPr>
        <w:t xml:space="preserve">供应商</w:t>
      </w:r>
      <w:r>
        <w:rPr>
          <w:color w:val="auto"/>
          <w:highlight w:val="none"/>
        </w:rPr>
        <w:t xml:space="preserve">须执行国家和我省 VOCs含量限制标准；</w:t>
      </w:r>
      <w:r>
        <w:rPr>
          <w:rFonts w:hint="eastAsia"/>
          <w:color w:val="auto"/>
          <w:highlight w:val="none"/>
        </w:rPr>
        <w:t xml:space="preserve">供应商</w:t>
      </w:r>
      <w:r>
        <w:rPr>
          <w:color w:val="auto"/>
          <w:highlight w:val="none"/>
        </w:rPr>
        <w:t xml:space="preserve">优先使用低挥发性原辅材料，将使用低 VOCs 含量的涂料、胶黏剂等纳入政府采购合同条款。</w:t>
      </w:r>
      <w:r/>
    </w:p>
    <w:p>
      <w:pPr>
        <w:pStyle w:val="857"/>
        <w:ind w:firstLine="480"/>
        <w:jc w:val="both"/>
        <w:spacing w:before="0" w:beforeAutospacing="0" w:after="0" w:afterAutospacing="0" w:line="450" w:lineRule="exact"/>
        <w:widowControl w:val="off"/>
        <w:rPr>
          <w:rFonts w:hint="eastAsia"/>
          <w:color w:val="auto"/>
          <w:highlight w:val="none"/>
        </w:rPr>
      </w:pPr>
      <w:r>
        <w:rPr>
          <w:rFonts w:hint="eastAsia"/>
          <w:color w:val="auto"/>
          <w:highlight w:val="none"/>
        </w:rPr>
        <w:t xml:space="preserve">3.采购本国产品的支持政策</w:t>
      </w:r>
      <w:r/>
    </w:p>
    <w:p>
      <w:pPr>
        <w:pStyle w:val="857"/>
        <w:ind w:firstLine="420"/>
        <w:spacing w:before="0" w:beforeAutospacing="0" w:after="0" w:afterAutospacing="0" w:line="450" w:lineRule="exact"/>
        <w:rPr>
          <w:rFonts w:ascii="Times New Roman" w:hAnsi="Times New Roman" w:cs="Times New Roman"/>
          <w:color w:val="auto"/>
          <w:highlight w:val="none"/>
        </w:rPr>
      </w:pPr>
      <w:r>
        <w:rPr>
          <w:rFonts w:hint="eastAsia"/>
          <w:color w:val="auto"/>
          <w:highlight w:val="none"/>
        </w:rPr>
        <w:t xml:space="preserve">3.1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cs="Times New Roman"/>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ind w:firstLine="420"/>
        <w:spacing w:before="0" w:beforeAutospacing="0" w:after="0" w:afterAutospacing="0" w:line="450" w:lineRule="exact"/>
        <w:rPr>
          <w:rFonts w:hint="eastAsia"/>
          <w:color w:val="auto"/>
          <w:highlight w:val="none"/>
        </w:rPr>
      </w:pPr>
      <w:r>
        <w:rPr>
          <w:rFonts w:hint="eastAsia" w:ascii="Times New Roman" w:hAnsi="Times New Roman" w:cs="Times New Roman"/>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left"/>
        <w:keepLines w:val="0"/>
        <w:keepNext/>
        <w:pageBreakBefore w:val="0"/>
        <w:spacing w:line="560" w:lineRule="exact"/>
        <w:widowControl/>
        <w:rPr>
          <w:rFonts w:hint="eastAsia" w:ascii="Calibri" w:hAnsi="Calibri" w:eastAsia="宋体" w:cs="Times New Roman"/>
          <w:b/>
          <w:bCs/>
          <w:color w:val="auto"/>
          <w:highlight w:val="none"/>
          <w:lang w:eastAsia="zh-CN"/>
        </w:rPr>
        <w:outlineLvl w:val="9"/>
      </w:pPr>
      <w:r/>
      <w:bookmarkStart w:id="189" w:name="_GoBack"/>
      <w:r>
        <w:rPr>
          <w:rFonts w:hint="eastAsia" w:ascii="宋体" w:hAnsi="宋体" w:eastAsia="宋体"/>
          <w:b/>
          <w:bCs/>
          <w:color w:val="auto"/>
          <w:sz w:val="24"/>
          <w:highlight w:val="none"/>
        </w:rPr>
        <w:t xml:space="preserve">（三）本项目的特定资格要求：</w:t>
      </w:r>
      <w:bookmarkEnd w:id="189"/>
      <w:r>
        <w:rPr>
          <w:rFonts w:hint="eastAsia" w:ascii="宋体" w:hAnsi="宋体" w:eastAsia="宋体" w:cs="宋体"/>
          <w:i w:val="0"/>
          <w:iCs w:val="0"/>
          <w:color w:val="auto"/>
          <w:sz w:val="24"/>
          <w:szCs w:val="24"/>
          <w:highlight w:val="none"/>
        </w:rPr>
        <w:t xml:space="preserve">供应商/投标主体及其法定代表人、项目负责人未被列入“连云港市赣榆区行贿人联合惩戒信息库。” 备注：响应文件不需提供证明材料，评标时采购人通过赣榆区行贿人联合惩戒信息库，对供应商/投标主体情况进行内部查询，查询结果页面打印留存</w:t>
      </w:r>
      <w:r>
        <w:rPr>
          <w:rFonts w:hint="eastAsia" w:ascii="Calibri" w:hAnsi="Calibri" w:cs="Times New Roman"/>
          <w:b/>
          <w:bCs/>
          <w:color w:val="auto"/>
          <w:highlight w:val="none"/>
          <w:lang w:eastAsia="zh-CN"/>
        </w:rPr>
        <w:t xml:space="preserve">。</w:t>
      </w:r>
      <w:r/>
    </w:p>
    <w:p>
      <w:pPr>
        <w:ind w:firstLine="480"/>
        <w:jc w:val="left"/>
        <w:spacing w:line="450" w:lineRule="exact"/>
        <w:rPr>
          <w:rFonts w:hint="eastAsia" w:ascii="宋体" w:hAnsi="宋体"/>
          <w:b/>
          <w:bCs/>
          <w:color w:val="auto"/>
          <w:sz w:val="24"/>
          <w:highlight w:val="none"/>
        </w:rPr>
      </w:pPr>
      <w:r>
        <w:rPr>
          <w:rFonts w:hint="eastAsia"/>
          <w:b/>
          <w:bCs/>
          <w:color w:val="auto"/>
          <w:sz w:val="24"/>
          <w:highlight w:val="none"/>
        </w:rPr>
        <w:t xml:space="preserve">（四）</w:t>
      </w:r>
      <w:r>
        <w:rPr>
          <w:rFonts w:hint="eastAsia" w:ascii="宋体" w:hAnsi="宋体"/>
          <w:b/>
          <w:bCs/>
          <w:color w:val="auto"/>
          <w:sz w:val="24"/>
          <w:highlight w:val="none"/>
        </w:rPr>
        <w:t xml:space="preserve">本项目的其他资格要求：</w:t>
      </w:r>
      <w:r/>
    </w:p>
    <w:p>
      <w:pPr>
        <w:ind w:firstLine="480"/>
        <w:jc w:val="left"/>
        <w:spacing w:line="450" w:lineRule="exact"/>
        <w:rPr>
          <w:rFonts w:hint="eastAsia" w:ascii="宋体" w:hAnsi="宋体"/>
          <w:color w:val="auto"/>
          <w:sz w:val="24"/>
          <w:highlight w:val="none"/>
        </w:rPr>
      </w:pPr>
      <w:r>
        <w:rPr>
          <w:rFonts w:hint="eastAsia" w:ascii="宋体" w:hAnsi="宋体"/>
          <w:color w:val="auto"/>
          <w:sz w:val="24"/>
          <w:highlight w:val="none"/>
        </w:rPr>
        <w:t xml:space="preserve">（1）资格审查现场查询时，被信用中国、中国政府采购网列入失信被执行人、</w:t>
      </w:r>
      <w:r>
        <w:rPr>
          <w:rFonts w:ascii="宋体" w:hAnsi="宋体" w:cs="宋体"/>
          <w:color w:val="auto"/>
          <w:sz w:val="24"/>
          <w:highlight w:val="none"/>
        </w:rPr>
        <w:t xml:space="preserve">税收违法黑名单</w:t>
      </w:r>
      <w:r>
        <w:rPr>
          <w:rFonts w:hint="eastAsia" w:ascii="宋体" w:hAnsi="宋体"/>
          <w:color w:val="auto"/>
          <w:sz w:val="24"/>
          <w:highlight w:val="none"/>
        </w:rPr>
        <w:t xml:space="preserve">、政府采购严重违法失信行为记录名单的投标人，拒绝其参与政府采购活动。</w:t>
      </w:r>
      <w:r/>
    </w:p>
    <w:p>
      <w:pPr>
        <w:ind w:firstLine="480"/>
        <w:jc w:val="left"/>
        <w:spacing w:line="450" w:lineRule="exact"/>
        <w:rPr>
          <w:rFonts w:hint="eastAsia" w:ascii="宋体" w:hAnsi="宋体"/>
          <w:color w:val="auto"/>
          <w:sz w:val="24"/>
          <w:highlight w:val="none"/>
        </w:rPr>
      </w:pPr>
      <w:r>
        <w:rPr>
          <w:rFonts w:hint="eastAsia" w:ascii="宋体" w:hAnsi="宋体"/>
          <w:color w:val="auto"/>
          <w:sz w:val="24"/>
          <w:highlight w:val="none"/>
        </w:rPr>
        <w:t xml:space="preserve">（2）中标后不允许分包或转包</w:t>
      </w:r>
      <w:r/>
    </w:p>
    <w:p>
      <w:pPr>
        <w:ind w:firstLine="480"/>
        <w:jc w:val="left"/>
        <w:spacing w:line="450" w:lineRule="exact"/>
        <w:rPr>
          <w:rFonts w:hint="eastAsia" w:ascii="宋体" w:hAnsi="宋体"/>
          <w:color w:val="auto"/>
          <w:sz w:val="24"/>
          <w:highlight w:val="none"/>
        </w:rPr>
      </w:pPr>
      <w:r>
        <w:rPr>
          <w:rFonts w:hint="eastAsia" w:ascii="宋体" w:hAnsi="宋体"/>
          <w:color w:val="auto"/>
          <w:sz w:val="24"/>
          <w:highlight w:val="none"/>
        </w:rPr>
        <w:t xml:space="preserve">（3）单位负责人为同一人或者存在直接控股、管理关系的不同供应商，不得同时参加本项目同一包的投标。</w:t>
      </w:r>
      <w:r/>
    </w:p>
    <w:p>
      <w:pPr>
        <w:ind w:firstLine="480"/>
        <w:jc w:val="left"/>
        <w:spacing w:line="450" w:lineRule="exact"/>
        <w:rPr>
          <w:color w:val="auto"/>
          <w:sz w:val="24"/>
          <w:szCs w:val="24"/>
          <w:highlight w:val="none"/>
        </w:rPr>
      </w:pPr>
      <w:r>
        <w:rPr>
          <w:rFonts w:hint="eastAsia" w:ascii="宋体" w:hAnsi="宋体"/>
          <w:color w:val="auto"/>
          <w:sz w:val="24"/>
          <w:highlight w:val="none"/>
        </w:rPr>
        <w:t xml:space="preserve">5.法律法规规定的其他条件。</w:t>
      </w:r>
      <w:r/>
    </w:p>
    <w:p>
      <w:pPr>
        <w:pStyle w:val="1013"/>
        <w:spacing w:before="0" w:after="0" w:line="450" w:lineRule="exact"/>
        <w:rPr>
          <w:rFonts w:hint="eastAsia"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时间：</w:t>
      </w:r>
      <w:r>
        <w:rPr>
          <w:rFonts w:hint="eastAsia" w:ascii="宋体" w:hAnsi="宋体" w:cs="宋体"/>
          <w:color w:val="auto"/>
          <w:sz w:val="24"/>
          <w:szCs w:val="24"/>
          <w:highlight w:val="none"/>
        </w:rPr>
        <w:t xml:space="preserve">自公告发布之日起5个工作日</w:t>
      </w:r>
      <w:r/>
    </w:p>
    <w:p>
      <w:pPr>
        <w:ind w:firstLine="480"/>
        <w:jc w:val="left"/>
        <w:spacing w:line="45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450" w:lineRule="exact"/>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spacing w:line="450" w:lineRule="exact"/>
        <w:rPr>
          <w:color w:val="auto"/>
          <w:sz w:val="24"/>
          <w:szCs w:val="24"/>
          <w:highlight w:val="none"/>
        </w:rPr>
      </w:pPr>
      <w:r>
        <w:rPr>
          <w:rFonts w:hint="eastAsia"/>
          <w:color w:val="auto"/>
          <w:sz w:val="24"/>
          <w:szCs w:val="24"/>
          <w:highlight w:val="none"/>
        </w:rPr>
        <w:t xml:space="preserve">售价：0.00元</w:t>
      </w:r>
      <w:r/>
    </w:p>
    <w:p>
      <w:pPr>
        <w:pStyle w:val="1013"/>
        <w:spacing w:before="0" w:after="0" w:line="450" w:lineRule="exact"/>
        <w:rPr>
          <w:rFonts w:hint="eastAsia"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450" w:lineRule="exact"/>
        <w:rPr>
          <w:color w:val="auto"/>
          <w:sz w:val="24"/>
          <w:szCs w:val="24"/>
          <w:highlight w:val="none"/>
        </w:rPr>
      </w:pPr>
      <w:r>
        <w:rPr>
          <w:rFonts w:hint="eastAsia"/>
          <w:color w:val="auto"/>
          <w:sz w:val="24"/>
          <w:szCs w:val="24"/>
          <w:highlight w:val="none"/>
        </w:rPr>
        <w:t xml:space="preserve">提交投标文件截止时间：2026年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04</w:t>
      </w:r>
      <w:r>
        <w:rPr>
          <w:rFonts w:hint="eastAsia"/>
          <w:color w:val="auto"/>
          <w:sz w:val="24"/>
          <w:szCs w:val="24"/>
          <w:highlight w:val="none"/>
        </w:rPr>
        <w:t xml:space="preserve">日09:00:00（北京时间）</w:t>
      </w:r>
      <w:r/>
    </w:p>
    <w:p>
      <w:pPr>
        <w:ind w:firstLine="480"/>
        <w:jc w:val="left"/>
        <w:spacing w:line="45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450" w:lineRule="exact"/>
        <w:rPr>
          <w:color w:val="auto"/>
          <w:highlight w:val="none"/>
        </w:rPr>
      </w:pPr>
      <w:r>
        <w:rPr>
          <w:rFonts w:hint="eastAsia"/>
          <w:color w:val="auto"/>
          <w:sz w:val="24"/>
          <w:szCs w:val="24"/>
          <w:highlight w:val="none"/>
        </w:rPr>
        <w:t xml:space="preserve">开标地点：“苏采云”政府采购交易系统网上开标大厅</w:t>
      </w:r>
      <w:r/>
    </w:p>
    <w:p>
      <w:pPr>
        <w:pStyle w:val="1013"/>
        <w:spacing w:before="0" w:after="0" w:line="450" w:lineRule="exact"/>
        <w:rPr>
          <w:rFonts w:hint="eastAsia"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450" w:lineRule="exact"/>
        <w:rPr>
          <w:color w:val="auto"/>
          <w:sz w:val="24"/>
          <w:szCs w:val="24"/>
          <w:highlight w:val="none"/>
        </w:rPr>
      </w:pPr>
      <w:r>
        <w:rPr>
          <w:rFonts w:hint="eastAsia"/>
          <w:color w:val="auto"/>
          <w:sz w:val="24"/>
          <w:szCs w:val="24"/>
          <w:highlight w:val="none"/>
        </w:rPr>
        <w:t xml:space="preserve">自本公告发布之日起5个工作日。</w:t>
      </w:r>
      <w:r/>
    </w:p>
    <w:p>
      <w:pPr>
        <w:pStyle w:val="1013"/>
        <w:spacing w:before="0" w:after="0" w:line="450" w:lineRule="exact"/>
        <w:rPr>
          <w:rFonts w:hint="eastAsia"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1.本次招标不收取投标保证金。</w:t>
      </w:r>
      <w:r/>
    </w:p>
    <w:p>
      <w:pPr>
        <w:ind w:firstLine="480"/>
        <w:jc w:val="left"/>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2.本招标文件中标注★的款项为实质性要求和条件，投标人须逐条做出满足实质性要求和条件的响应，否则将按无效响应处理。</w:t>
      </w:r>
      <w:r/>
    </w:p>
    <w:p>
      <w:pPr>
        <w:ind w:firstLine="480"/>
        <w:jc w:val="left"/>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"http://www.ccgp-jiangsu.gov.cn/jiangsu/zlxz/ee/ee3a4bc5a3454a"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http://www.ccgp-jiangsu.gov.cn/jiangsu/zlxz/ee/ee3a4bc5a3454</w:t>
      </w:r>
      <w:r/>
    </w:p>
    <w:p>
      <w:pPr>
        <w:jc w:val="left"/>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a2b0d9312230633ce9.html</w:t>
      </w:r>
      <w:r/>
    </w:p>
    <w:p>
      <w:pPr>
        <w:ind w:firstLine="480"/>
        <w:jc w:val="left"/>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1013"/>
        <w:spacing w:before="0" w:after="0" w:line="450" w:lineRule="exact"/>
        <w:rPr>
          <w:rFonts w:hint="eastAsia"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spacing w:line="450" w:lineRule="exact"/>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1.采购人信息</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称：连云港市赣榆区自然资源和规划局</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地址：连云港市赣榆区青口镇黄海东路309号 　　</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联系人：徐科长</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1" w:name="_Toc28359009"/>
      <w:r/>
      <w:bookmarkStart w:id="2" w:name="_Toc28359086"/>
      <w:r>
        <w:rPr>
          <w:rFonts w:hint="eastAsia" w:ascii="宋体" w:hAnsi="宋体" w:cs="宋体"/>
          <w:color w:val="auto"/>
          <w:sz w:val="24"/>
          <w:szCs w:val="24"/>
          <w:highlight w:val="none"/>
        </w:rPr>
        <w:t xml:space="preserve">13961363969</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2.</w:t>
      </w:r>
      <w:bookmarkEnd w:id="1"/>
      <w:r/>
      <w:bookmarkEnd w:id="2"/>
      <w:r>
        <w:rPr>
          <w:rFonts w:hint="eastAsia" w:ascii="宋体" w:hAnsi="宋体" w:cs="宋体"/>
          <w:color w:val="auto"/>
          <w:sz w:val="24"/>
          <w:highlight w:val="none"/>
        </w:rPr>
        <w:t xml:space="preserve">采购代理机构信息</w:t>
      </w:r>
      <w:r/>
    </w:p>
    <w:p>
      <w:pPr>
        <w:ind w:firstLine="480"/>
        <w:spacing w:line="450" w:lineRule="exact"/>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val="en-US" w:eastAsia="zh-CN"/>
        </w:rPr>
        <w:t xml:space="preserve">名称：</w:t>
      </w:r>
      <w:r>
        <w:rPr>
          <w:rFonts w:hint="eastAsia" w:ascii="宋体" w:hAnsi="宋体" w:cs="宋体"/>
          <w:color w:val="auto"/>
          <w:sz w:val="24"/>
          <w:szCs w:val="24"/>
          <w:highlight w:val="none"/>
        </w:rPr>
        <w:t xml:space="preserve">江苏宝宏项目管理咨询有限公司</w:t>
      </w:r>
      <w:r/>
    </w:p>
    <w:p>
      <w:pPr>
        <w:ind w:firstLine="480"/>
        <w:pageBreakBefore w:val="0"/>
        <w:spacing w:line="45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地址：</w:t>
      </w:r>
      <w:r>
        <w:rPr>
          <w:rFonts w:hint="eastAsia" w:ascii="宋体" w:hAnsi="宋体" w:cs="宋体"/>
          <w:color w:val="auto"/>
          <w:sz w:val="24"/>
          <w:szCs w:val="28"/>
          <w:highlight w:val="none"/>
        </w:rPr>
        <w:t xml:space="preserve">连云港市海州经济开发区朐凤路116号</w:t>
      </w:r>
      <w:r>
        <w:rPr>
          <w:rFonts w:hint="eastAsia" w:ascii="宋体" w:hAnsi="宋体" w:cs="宋体"/>
          <w:color w:val="auto"/>
          <w:sz w:val="24"/>
          <w:szCs w:val="28"/>
          <w:highlight w:val="none"/>
          <w:lang w:val="en-US" w:eastAsia="zh-CN"/>
        </w:rPr>
        <w:t xml:space="preserve"> </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联系人：王工</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3" w:name="_Toc28359010"/>
      <w:r/>
      <w:bookmarkStart w:id="4" w:name="_Toc28359087"/>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5161352881</w:t>
      </w:r>
      <w:bookmarkEnd w:id="3"/>
      <w:r/>
      <w:bookmarkEnd w:id="4"/>
      <w:r/>
      <w:r/>
    </w:p>
    <w:p>
      <w:pPr>
        <w:jc w:val="center"/>
        <w:keepLines/>
        <w:keepNext/>
        <w:spacing w:before="260" w:after="260" w:line="450" w:lineRule="exact"/>
        <w:rPr>
          <w:rFonts w:ascii="黑体" w:hAnsi="Arial" w:eastAsia="黑体" w:cs="Arial"/>
          <w:color w:val="auto"/>
          <w:sz w:val="44"/>
          <w:szCs w:val="44"/>
          <w:highlight w:val="none"/>
        </w:rPr>
        <w:outlineLvl w:val="1"/>
      </w:pPr>
      <w:r/>
      <w:bookmarkStart w:id="5" w:name="_Toc155796357"/>
      <w:r>
        <w:rPr>
          <w:rFonts w:ascii="黑体" w:hAnsi="黑体" w:eastAsia="黑体"/>
          <w:b/>
          <w:color w:val="auto"/>
          <w:highlight w:val="none"/>
        </w:rPr>
        <w:br w:type="page" w:clear="all"/>
      </w:r>
      <w:bookmarkStart w:id="6" w:name="_Toc120614211"/>
      <w:r/>
      <w:bookmarkStart w:id="7" w:name="_Toc18854"/>
      <w:r/>
      <w:bookmarkStart w:id="8" w:name="_Toc28147"/>
      <w:r>
        <w:rPr>
          <w:rFonts w:hint="eastAsia" w:ascii="黑体" w:hAnsi="Times New Roman" w:eastAsia="黑体"/>
          <w:color w:val="auto"/>
          <w:sz w:val="44"/>
          <w:szCs w:val="44"/>
          <w:highlight w:val="none"/>
        </w:rPr>
        <w:t xml:space="preserve">第二章  </w:t>
      </w:r>
      <w:bookmarkEnd w:id="6"/>
      <w:r/>
      <w:bookmarkStart w:id="9" w:name="_Toc120614213"/>
      <w:r/>
      <w:bookmarkStart w:id="10" w:name="_Toc16938518"/>
      <w:r/>
      <w:bookmarkStart w:id="11" w:name="_Toc20823274"/>
      <w:r/>
      <w:bookmarkStart w:id="12" w:name="_Toc513029202"/>
      <w:r>
        <w:rPr>
          <w:rFonts w:hint="eastAsia" w:ascii="黑体" w:hAnsi="Times New Roman" w:eastAsia="黑体"/>
          <w:color w:val="auto"/>
          <w:sz w:val="44"/>
          <w:szCs w:val="44"/>
          <w:highlight w:val="none"/>
        </w:rPr>
        <w:t xml:space="preserve">投标人须知</w:t>
      </w:r>
      <w:bookmarkEnd w:id="7"/>
      <w:r/>
      <w:bookmarkEnd w:id="8"/>
      <w:r/>
      <w:bookmarkEnd w:id="9"/>
      <w:r/>
      <w:bookmarkEnd w:id="10"/>
      <w:r/>
      <w:bookmarkEnd w:id="11"/>
      <w:r/>
      <w:bookmarkEnd w:id="12"/>
      <w:r/>
      <w:r/>
    </w:p>
    <w:p>
      <w:pPr>
        <w:ind w:firstLine="498"/>
        <w:keepLines/>
        <w:keepNext/>
        <w:spacing w:before="145" w:after="145" w:line="450" w:lineRule="exact"/>
        <w:rPr>
          <w:rFonts w:hint="eastAsia" w:ascii="宋体" w:hAnsi="宋体" w:cs="宋体"/>
          <w:b/>
          <w:bCs/>
          <w:color w:val="auto"/>
          <w:sz w:val="32"/>
          <w:szCs w:val="32"/>
          <w:highlight w:val="none"/>
        </w:rPr>
        <w:outlineLvl w:val="2"/>
      </w:pPr>
      <w:r/>
      <w:bookmarkStart w:id="13" w:name="_Toc6848"/>
      <w:r/>
      <w:bookmarkStart w:id="14" w:name="_Toc16938519"/>
      <w:r/>
      <w:bookmarkStart w:id="15" w:name="_Toc513029203"/>
      <w:r/>
      <w:bookmarkStart w:id="16" w:name="_Toc120614214"/>
      <w:r/>
      <w:bookmarkStart w:id="17" w:name="_Toc20823275"/>
      <w:r/>
      <w:bookmarkStart w:id="18" w:name="_Toc1598"/>
      <w:r>
        <w:rPr>
          <w:rFonts w:hint="eastAsia" w:ascii="宋体" w:hAnsi="宋体" w:cs="宋体"/>
          <w:b/>
          <w:bCs/>
          <w:color w:val="auto"/>
          <w:sz w:val="32"/>
          <w:szCs w:val="32"/>
          <w:highlight w:val="none"/>
        </w:rPr>
        <w:t xml:space="preserve">一、总则</w:t>
      </w:r>
      <w:bookmarkEnd w:id="13"/>
      <w:r/>
      <w:bookmarkEnd w:id="14"/>
      <w:r/>
      <w:bookmarkEnd w:id="15"/>
      <w:r/>
      <w:bookmarkEnd w:id="16"/>
      <w:r/>
      <w:bookmarkEnd w:id="17"/>
      <w:r/>
      <w:bookmarkEnd w:id="18"/>
      <w:r/>
      <w:r/>
    </w:p>
    <w:p>
      <w:pPr>
        <w:ind w:firstLine="420"/>
        <w:keepLines/>
        <w:keepNext/>
        <w:spacing w:line="450" w:lineRule="exact"/>
        <w:rPr>
          <w:rFonts w:hint="eastAsia" w:ascii="宋体" w:hAnsi="宋体" w:cs="宋体"/>
          <w:color w:val="auto"/>
          <w:sz w:val="28"/>
          <w:szCs w:val="28"/>
          <w:highlight w:val="none"/>
        </w:rPr>
        <w:outlineLvl w:val="3"/>
      </w:pPr>
      <w:r/>
      <w:bookmarkStart w:id="19" w:name="_Hlt16619475"/>
      <w:r/>
      <w:bookmarkEnd w:id="19"/>
      <w:r/>
      <w:bookmarkStart w:id="20" w:name="_Toc458694821"/>
      <w:r/>
      <w:bookmarkStart w:id="21" w:name="_Toc513029204"/>
      <w:r/>
      <w:bookmarkStart w:id="22" w:name="_Toc20823276"/>
      <w:r/>
      <w:bookmarkStart w:id="23" w:name="_Toc16938520"/>
      <w:r>
        <w:rPr>
          <w:rFonts w:hint="eastAsia" w:ascii="宋体" w:hAnsi="宋体" w:cs="宋体"/>
          <w:color w:val="auto"/>
          <w:sz w:val="28"/>
          <w:szCs w:val="28"/>
          <w:highlight w:val="none"/>
        </w:rPr>
        <w:t xml:space="preserve">1</w:t>
      </w:r>
      <w:bookmarkEnd w:id="20"/>
      <w:r>
        <w:rPr>
          <w:rFonts w:hint="eastAsia" w:ascii="宋体" w:hAnsi="宋体" w:cs="宋体"/>
          <w:color w:val="auto"/>
          <w:sz w:val="28"/>
          <w:szCs w:val="28"/>
          <w:highlight w:val="none"/>
        </w:rPr>
        <w:t xml:space="preserve">.招标方式</w:t>
      </w:r>
      <w:bookmarkEnd w:id="21"/>
      <w:r/>
      <w:bookmarkEnd w:id="22"/>
      <w:r/>
      <w:bookmarkEnd w:id="23"/>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1.1 本次招标采取</w:t>
      </w:r>
      <w:r>
        <w:rPr>
          <w:rFonts w:hint="eastAsia" w:ascii="宋体" w:hAnsi="宋体" w:cs="宋体"/>
          <w:b/>
          <w:bCs/>
          <w:color w:val="auto"/>
          <w:sz w:val="24"/>
          <w:highlight w:val="none"/>
        </w:rPr>
        <w:t xml:space="preserve">公开招标</w:t>
      </w:r>
      <w:r>
        <w:rPr>
          <w:rFonts w:hint="eastAsia" w:ascii="宋体" w:hAnsi="宋体" w:cs="宋体"/>
          <w:color w:val="auto"/>
          <w:sz w:val="24"/>
          <w:highlight w:val="none"/>
        </w:rPr>
        <w:t xml:space="preserve">方式，本招标文件仅适用于招标公告中所述项目。</w:t>
      </w:r>
      <w:r/>
    </w:p>
    <w:p>
      <w:pPr>
        <w:ind w:firstLine="420"/>
        <w:keepLines/>
        <w:keepNext/>
        <w:spacing w:line="450" w:lineRule="exact"/>
        <w:rPr>
          <w:rFonts w:hint="eastAsia" w:ascii="宋体" w:hAnsi="宋体" w:cs="宋体"/>
          <w:color w:val="auto"/>
          <w:sz w:val="28"/>
          <w:szCs w:val="28"/>
          <w:highlight w:val="none"/>
        </w:rPr>
        <w:outlineLvl w:val="3"/>
      </w:pPr>
      <w:r/>
      <w:bookmarkStart w:id="24" w:name="_Toc513029205"/>
      <w:r/>
      <w:bookmarkStart w:id="25" w:name="_Toc20823277"/>
      <w:r/>
      <w:bookmarkStart w:id="26" w:name="_Toc16938521"/>
      <w:r>
        <w:rPr>
          <w:rFonts w:hint="eastAsia" w:ascii="宋体" w:hAnsi="宋体" w:cs="宋体"/>
          <w:color w:val="auto"/>
          <w:sz w:val="28"/>
          <w:szCs w:val="28"/>
          <w:highlight w:val="none"/>
        </w:rPr>
        <w:t xml:space="preserve">2.合格的投标人</w:t>
      </w:r>
      <w:bookmarkEnd w:id="24"/>
      <w:r/>
      <w:bookmarkEnd w:id="25"/>
      <w:r/>
      <w:bookmarkEnd w:id="26"/>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2.1 满足招标公告中供应商的资格要求的规定。</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2.2 满足本文件实质性要求和条件的规定。</w:t>
      </w:r>
      <w:r/>
    </w:p>
    <w:p>
      <w:pPr>
        <w:ind w:firstLine="420"/>
        <w:keepLines/>
        <w:keepNext/>
        <w:spacing w:line="450" w:lineRule="exact"/>
        <w:rPr>
          <w:rFonts w:hint="eastAsia" w:ascii="宋体" w:hAnsi="宋体" w:cs="宋体"/>
          <w:color w:val="auto"/>
          <w:sz w:val="28"/>
          <w:szCs w:val="28"/>
          <w:highlight w:val="none"/>
        </w:rPr>
        <w:outlineLvl w:val="3"/>
      </w:pPr>
      <w:r/>
      <w:bookmarkStart w:id="27" w:name="_Toc16938522"/>
      <w:r/>
      <w:bookmarkStart w:id="28" w:name="_Toc20823278"/>
      <w:r/>
      <w:bookmarkStart w:id="29" w:name="_Toc513029206"/>
      <w:r>
        <w:rPr>
          <w:rFonts w:hint="eastAsia" w:ascii="宋体" w:hAnsi="宋体" w:cs="宋体"/>
          <w:color w:val="auto"/>
          <w:sz w:val="28"/>
          <w:szCs w:val="28"/>
          <w:highlight w:val="none"/>
        </w:rPr>
        <w:t xml:space="preserve">3.适用法律</w:t>
      </w:r>
      <w:bookmarkEnd w:id="27"/>
      <w:r/>
      <w:bookmarkEnd w:id="28"/>
      <w:r/>
      <w:bookmarkEnd w:id="29"/>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ind w:firstLine="420"/>
        <w:keepLines/>
        <w:keepNext/>
        <w:spacing w:line="450" w:lineRule="exact"/>
        <w:rPr>
          <w:rFonts w:hint="eastAsia" w:ascii="宋体" w:hAnsi="宋体" w:cs="宋体"/>
          <w:color w:val="auto"/>
          <w:sz w:val="28"/>
          <w:szCs w:val="28"/>
          <w:highlight w:val="none"/>
        </w:rPr>
        <w:outlineLvl w:val="3"/>
      </w:pPr>
      <w:r/>
      <w:bookmarkStart w:id="30" w:name="_Toc462564067"/>
      <w:r/>
      <w:bookmarkStart w:id="31" w:name="_Toc20823279"/>
      <w:r/>
      <w:bookmarkStart w:id="32" w:name="_Toc16938523"/>
      <w:r/>
      <w:bookmarkStart w:id="33" w:name="_Toc513029207"/>
      <w:r>
        <w:rPr>
          <w:rFonts w:hint="eastAsia" w:ascii="宋体" w:hAnsi="宋体" w:cs="宋体"/>
          <w:color w:val="auto"/>
          <w:sz w:val="28"/>
          <w:szCs w:val="28"/>
          <w:highlight w:val="none"/>
        </w:rPr>
        <w:t xml:space="preserve">4.投标费用</w:t>
      </w:r>
      <w:bookmarkEnd w:id="30"/>
      <w:r/>
      <w:bookmarkEnd w:id="31"/>
      <w:r/>
      <w:bookmarkEnd w:id="32"/>
      <w:r/>
      <w:bookmarkEnd w:id="33"/>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4.1 投标人应自行承担所有与参加投标有关的费用，无论投标过程中的做法和结果如何，</w:t>
      </w:r>
      <w:r>
        <w:rPr>
          <w:rFonts w:hint="eastAsia" w:ascii="宋体" w:hAnsi="宋体" w:cs="宋体"/>
          <w:b/>
          <w:bCs/>
          <w:color w:val="auto"/>
          <w:sz w:val="24"/>
          <w:highlight w:val="none"/>
        </w:rPr>
        <w:t xml:space="preserve">江苏宝宏项目管理咨询有限公司</w:t>
      </w:r>
      <w:r>
        <w:rPr>
          <w:rFonts w:hint="eastAsia" w:ascii="宋体" w:hAnsi="宋体" w:cs="宋体"/>
          <w:color w:val="auto"/>
          <w:sz w:val="24"/>
          <w:highlight w:val="none"/>
        </w:rPr>
        <w:t xml:space="preserve">（以下简称采购代理机构）在任何情况下均无义务和责任承担这些费用。</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4.2 本次招标采购代理服务费：</w:t>
      </w:r>
      <w:r>
        <w:rPr>
          <w:rFonts w:hint="eastAsia" w:ascii="宋体" w:hAnsi="宋体" w:cs="宋体"/>
          <w:b/>
          <w:bCs/>
          <w:color w:val="auto"/>
          <w:sz w:val="24"/>
          <w:highlight w:val="none"/>
        </w:rPr>
        <w:t xml:space="preserve">招标代理服务费按《江苏省政府采购代理服务收费指导意见》（苏政采协[2024]20号）收费标准的80%计取，按41000元收取；最终由中标人在领取中标通知书时一次性支付，投标人须将此部分费用综合考虑在报价中，不得单列</w:t>
      </w:r>
      <w:r>
        <w:rPr>
          <w:rFonts w:hint="eastAsia" w:ascii="宋体" w:hAnsi="宋体" w:cs="宋体"/>
          <w:color w:val="auto"/>
          <w:sz w:val="24"/>
          <w:highlight w:val="none"/>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原因：为优化采购资金使用效率，依据《政府采购代理机构管理暂行办法》（财库〔2018〕2号）第十五条规定，经采购人研究确定，本项目代理服务费由中标/成交供应商支付。</w:t>
      </w:r>
      <w:r/>
      <w:r>
        <w:rPr>
          <w:rFonts w:hint="eastAsia" w:ascii="宋体" w:hAnsi="宋体" w:cs="宋体"/>
          <w:color w:val="auto"/>
          <w:sz w:val="24"/>
          <w:highlight w:val="none"/>
        </w:rPr>
      </w:r>
      <w:r>
        <w:rPr>
          <w:rFonts w:hint="eastAsia" w:ascii="宋体" w:hAnsi="宋体" w:cs="宋体"/>
          <w:color w:val="auto"/>
          <w:sz w:val="24"/>
          <w:highlight w:val="none"/>
        </w:rPr>
      </w:r>
      <w:r>
        <w:rPr>
          <w:sz w:val="21"/>
        </w:rPr>
      </w:r>
    </w:p>
    <w:p>
      <w:pPr>
        <w:ind w:firstLine="602"/>
        <w:keepLines/>
        <w:keepNext/>
        <w:spacing w:line="450" w:lineRule="exact"/>
        <w:rPr>
          <w:rFonts w:hint="eastAsia" w:ascii="宋体" w:hAnsi="宋体" w:cs="宋体"/>
          <w:color w:val="auto"/>
          <w:sz w:val="28"/>
          <w:szCs w:val="28"/>
          <w:highlight w:val="none"/>
        </w:rPr>
        <w:outlineLvl w:val="3"/>
      </w:pPr>
      <w:r>
        <w:rPr>
          <w:rFonts w:hint="eastAsia" w:ascii="宋体" w:hAnsi="宋体" w:cs="宋体"/>
          <w:b/>
          <w:bCs/>
          <w:color w:val="auto"/>
          <w:sz w:val="30"/>
          <w:szCs w:val="28"/>
          <w:highlight w:val="none"/>
        </w:rPr>
        <w:t xml:space="preserve">5.</w:t>
      </w:r>
      <w:r>
        <w:rPr>
          <w:rFonts w:hint="eastAsia" w:ascii="宋体" w:hAnsi="宋体" w:cs="宋体"/>
          <w:color w:val="auto"/>
          <w:sz w:val="28"/>
          <w:szCs w:val="28"/>
          <w:highlight w:val="none"/>
        </w:rPr>
        <w:t xml:space="preserve">招标文件的约束力</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5.1 投标人一旦参加本项目采购活动，即被认为接受了本招标文件的规定和约束。</w:t>
      </w:r>
      <w:r/>
    </w:p>
    <w:p>
      <w:pPr>
        <w:ind w:firstLine="321"/>
        <w:keepLines/>
        <w:keepNext/>
        <w:spacing w:before="145" w:after="145" w:line="450" w:lineRule="exact"/>
        <w:rPr>
          <w:rFonts w:hint="eastAsia" w:ascii="宋体" w:hAnsi="宋体" w:cs="宋体"/>
          <w:b/>
          <w:bCs/>
          <w:color w:val="auto"/>
          <w:sz w:val="32"/>
          <w:szCs w:val="32"/>
          <w:highlight w:val="none"/>
        </w:rPr>
        <w:outlineLvl w:val="2"/>
      </w:pPr>
      <w:r/>
      <w:bookmarkStart w:id="34" w:name="_Toc20823281"/>
      <w:r/>
      <w:bookmarkStart w:id="35" w:name="_Toc16938525"/>
      <w:r/>
      <w:bookmarkStart w:id="36" w:name="_Toc513029209"/>
      <w:r/>
      <w:bookmarkStart w:id="37" w:name="_Toc2081"/>
      <w:r/>
      <w:bookmarkStart w:id="38" w:name="_Toc120614215"/>
      <w:r/>
      <w:bookmarkStart w:id="39" w:name="_Toc13550"/>
      <w:r>
        <w:rPr>
          <w:rFonts w:hint="eastAsia" w:ascii="宋体" w:hAnsi="宋体" w:cs="宋体"/>
          <w:b/>
          <w:bCs/>
          <w:color w:val="auto"/>
          <w:sz w:val="32"/>
          <w:szCs w:val="32"/>
          <w:highlight w:val="none"/>
        </w:rPr>
        <w:t xml:space="preserve">二、招标文件</w:t>
      </w:r>
      <w:bookmarkEnd w:id="34"/>
      <w:r/>
      <w:bookmarkEnd w:id="35"/>
      <w:r/>
      <w:bookmarkEnd w:id="36"/>
      <w:r/>
      <w:bookmarkEnd w:id="37"/>
      <w:r/>
      <w:bookmarkEnd w:id="38"/>
      <w:r/>
      <w:bookmarkEnd w:id="39"/>
      <w:r/>
      <w:r/>
    </w:p>
    <w:p>
      <w:pPr>
        <w:ind w:firstLine="420"/>
        <w:keepLines/>
        <w:keepNext/>
        <w:spacing w:line="450" w:lineRule="exact"/>
        <w:rPr>
          <w:rFonts w:hint="eastAsia" w:ascii="宋体" w:hAnsi="宋体" w:cs="宋体"/>
          <w:color w:val="auto"/>
          <w:sz w:val="28"/>
          <w:szCs w:val="28"/>
          <w:highlight w:val="none"/>
        </w:rPr>
        <w:outlineLvl w:val="3"/>
      </w:pPr>
      <w:r/>
      <w:bookmarkStart w:id="40" w:name="_Toc20823282"/>
      <w:r/>
      <w:bookmarkStart w:id="41" w:name="_Toc16938526"/>
      <w:r/>
      <w:bookmarkStart w:id="42" w:name="_Toc513029210"/>
      <w:r>
        <w:rPr>
          <w:rFonts w:hint="eastAsia" w:ascii="宋体" w:hAnsi="宋体" w:cs="宋体"/>
          <w:color w:val="auto"/>
          <w:sz w:val="28"/>
          <w:szCs w:val="28"/>
          <w:highlight w:val="none"/>
        </w:rPr>
        <w:t xml:space="preserve">6.招标文件构成</w:t>
      </w:r>
      <w:bookmarkEnd w:id="40"/>
      <w:r/>
      <w:bookmarkEnd w:id="41"/>
      <w:r/>
      <w:bookmarkEnd w:id="42"/>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6.1 招标文件由以下部分组成：</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请仔细检查招标文件是否齐全，如有缺漏请立即与采购代理机构联系解决。</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ind w:firstLine="560"/>
        <w:keepLines/>
        <w:keepNext/>
        <w:spacing w:line="450" w:lineRule="exact"/>
        <w:rPr>
          <w:rFonts w:hint="eastAsia" w:ascii="宋体" w:hAnsi="宋体" w:cs="宋体"/>
          <w:color w:val="auto"/>
          <w:sz w:val="28"/>
          <w:szCs w:val="28"/>
          <w:highlight w:val="none"/>
        </w:rPr>
        <w:outlineLvl w:val="3"/>
      </w:pPr>
      <w:r/>
      <w:bookmarkStart w:id="43" w:name="_Toc513029211"/>
      <w:r/>
      <w:bookmarkStart w:id="44" w:name="_Toc462564070"/>
      <w:r/>
      <w:bookmarkStart w:id="45" w:name="_Toc16938527"/>
      <w:r/>
      <w:bookmarkStart w:id="46" w:name="_Toc20823283"/>
      <w:r>
        <w:rPr>
          <w:rFonts w:hint="eastAsia" w:ascii="宋体" w:hAnsi="宋体" w:cs="宋体"/>
          <w:color w:val="auto"/>
          <w:sz w:val="28"/>
          <w:szCs w:val="28"/>
          <w:highlight w:val="none"/>
        </w:rPr>
        <w:t xml:space="preserve">7.招标文件的澄清</w:t>
      </w:r>
      <w:bookmarkEnd w:id="43"/>
      <w:r/>
      <w:bookmarkEnd w:id="44"/>
      <w:r/>
      <w:bookmarkEnd w:id="45"/>
      <w:r/>
      <w:bookmarkEnd w:id="46"/>
      <w:r/>
      <w:r/>
    </w:p>
    <w:p>
      <w:pPr>
        <w:ind w:firstLine="480"/>
        <w:spacing w:line="450" w:lineRule="exact"/>
        <w:rPr>
          <w:rFonts w:hint="eastAsia" w:ascii="宋体" w:hAnsi="宋体" w:cs="宋体"/>
          <w:color w:val="auto"/>
          <w:sz w:val="24"/>
          <w:szCs w:val="24"/>
          <w:highlight w:val="none"/>
        </w:rPr>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任何要求对招标文件进行澄清的投标人，应在投标截止期十日前按招标公告中的通讯地址，以书面形式通知采购代理机构或采购人。</w:t>
      </w:r>
      <w:r/>
    </w:p>
    <w:p>
      <w:pPr>
        <w:ind w:firstLine="560"/>
        <w:keepLines/>
        <w:keepNext/>
        <w:spacing w:line="450" w:lineRule="exact"/>
        <w:rPr>
          <w:rFonts w:hint="eastAsia" w:ascii="宋体" w:hAnsi="宋体" w:cs="宋体"/>
          <w:color w:val="auto"/>
          <w:sz w:val="28"/>
          <w:szCs w:val="28"/>
          <w:highlight w:val="none"/>
        </w:rPr>
        <w:outlineLvl w:val="3"/>
      </w:pPr>
      <w:r/>
      <w:bookmarkStart w:id="47" w:name="_Toc462564071"/>
      <w:r/>
      <w:bookmarkStart w:id="48" w:name="_Toc513029212"/>
      <w:r/>
      <w:bookmarkStart w:id="49" w:name="_Toc20823284"/>
      <w:r/>
      <w:bookmarkStart w:id="50" w:name="_Toc16938528"/>
      <w:r>
        <w:rPr>
          <w:rFonts w:hint="eastAsia" w:ascii="宋体" w:hAnsi="宋体" w:cs="宋体"/>
          <w:color w:val="auto"/>
          <w:sz w:val="28"/>
          <w:szCs w:val="28"/>
          <w:highlight w:val="none"/>
        </w:rPr>
        <w:t xml:space="preserve">8.投标文件的修改</w:t>
      </w:r>
      <w:bookmarkEnd w:id="47"/>
      <w:r/>
      <w:bookmarkEnd w:id="48"/>
      <w:r/>
      <w:bookmarkEnd w:id="49"/>
      <w:r/>
      <w:bookmarkEnd w:id="50"/>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8.1 在投标截止时间前，采购人可以对招标文件进行修改。</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8.2 采购人有权按照法定的要求推迟投标截止日期和开标日期。</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450" w:lineRule="exact"/>
        <w:rPr>
          <w:rFonts w:hint="eastAsia" w:ascii="宋体" w:hAnsi="宋体" w:cs="宋体"/>
          <w:b/>
          <w:bCs/>
          <w:color w:val="auto"/>
          <w:sz w:val="32"/>
          <w:szCs w:val="32"/>
          <w:highlight w:val="none"/>
        </w:rPr>
        <w:outlineLvl w:val="2"/>
      </w:pPr>
      <w:r/>
      <w:bookmarkStart w:id="51" w:name="_Toc20823285"/>
      <w:r/>
      <w:bookmarkStart w:id="52" w:name="_Toc462564072"/>
      <w:r/>
      <w:bookmarkStart w:id="53" w:name="_Toc18646"/>
      <w:r/>
      <w:bookmarkStart w:id="54" w:name="_Toc513029213"/>
      <w:r/>
      <w:bookmarkStart w:id="55" w:name="_Toc16938529"/>
      <w:r/>
      <w:bookmarkStart w:id="56" w:name="_Toc18017"/>
      <w:r/>
      <w:bookmarkStart w:id="57" w:name="_Toc120614216"/>
      <w:r>
        <w:rPr>
          <w:rFonts w:hint="eastAsia" w:ascii="宋体" w:hAnsi="宋体" w:cs="宋体"/>
          <w:b/>
          <w:bCs/>
          <w:color w:val="auto"/>
          <w:sz w:val="32"/>
          <w:szCs w:val="32"/>
          <w:highlight w:val="none"/>
        </w:rPr>
        <w:t xml:space="preserve">三、投标文件的编制</w:t>
      </w:r>
      <w:bookmarkEnd w:id="51"/>
      <w:r/>
      <w:bookmarkEnd w:id="52"/>
      <w:r/>
      <w:bookmarkEnd w:id="53"/>
      <w:r/>
      <w:bookmarkEnd w:id="54"/>
      <w:r/>
      <w:bookmarkEnd w:id="55"/>
      <w:r/>
      <w:bookmarkEnd w:id="56"/>
      <w:r/>
      <w:bookmarkEnd w:id="57"/>
      <w:r/>
      <w:r/>
    </w:p>
    <w:p>
      <w:pPr>
        <w:ind w:firstLine="560"/>
        <w:keepLines/>
        <w:keepNext/>
        <w:spacing w:line="450" w:lineRule="exact"/>
        <w:rPr>
          <w:rFonts w:hint="eastAsia" w:ascii="宋体" w:hAnsi="宋体" w:cs="宋体"/>
          <w:b/>
          <w:color w:val="auto"/>
          <w:sz w:val="28"/>
          <w:szCs w:val="28"/>
          <w:highlight w:val="none"/>
        </w:rPr>
        <w:outlineLvl w:val="3"/>
      </w:pPr>
      <w:r/>
      <w:bookmarkStart w:id="58" w:name="_Toc513029214"/>
      <w:r/>
      <w:bookmarkStart w:id="59" w:name="_Toc20823286"/>
      <w:r/>
      <w:bookmarkStart w:id="60" w:name="_Toc462564073"/>
      <w:r/>
      <w:bookmarkStart w:id="61" w:name="_Toc16938530"/>
      <w:r>
        <w:rPr>
          <w:rFonts w:hint="eastAsia" w:ascii="宋体" w:hAnsi="宋体" w:cs="宋体"/>
          <w:color w:val="auto"/>
          <w:sz w:val="28"/>
          <w:szCs w:val="28"/>
          <w:highlight w:val="none"/>
        </w:rPr>
        <w:t xml:space="preserve">9.投标文件的语言及度量衡单位</w:t>
      </w:r>
      <w:bookmarkEnd w:id="58"/>
      <w:r/>
      <w:bookmarkEnd w:id="59"/>
      <w:r/>
      <w:bookmarkEnd w:id="60"/>
      <w:r/>
      <w:bookmarkEnd w:id="61"/>
      <w:r/>
      <w:r/>
    </w:p>
    <w:p>
      <w:pPr>
        <w:ind w:firstLine="480"/>
        <w:spacing w:line="450" w:lineRule="exact"/>
        <w:rPr>
          <w:rFonts w:hint="eastAsia" w:ascii="宋体" w:hAnsi="宋体" w:cs="宋体"/>
          <w:color w:val="auto"/>
          <w:sz w:val="24"/>
          <w:highlight w:val="none"/>
        </w:rPr>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 投标人提交的投标文件以及投标人与采购人、采购代理机构就有关投标的所有来往通知、函件和文件均应使用简体中文。</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9.2 除技术性能另有规定外，投标文件所使用的度量衡单位，均须采用国家法定计量单位。</w:t>
      </w:r>
      <w:r/>
    </w:p>
    <w:p>
      <w:pPr>
        <w:ind w:firstLine="420"/>
        <w:keepLines/>
        <w:keepNext/>
        <w:spacing w:line="450" w:lineRule="exact"/>
        <w:rPr>
          <w:rFonts w:hint="eastAsia" w:ascii="宋体" w:hAnsi="宋体" w:cs="宋体"/>
          <w:color w:val="auto"/>
          <w:sz w:val="28"/>
          <w:szCs w:val="28"/>
          <w:highlight w:val="none"/>
        </w:rPr>
        <w:outlineLvl w:val="3"/>
      </w:pPr>
      <w:r/>
      <w:bookmarkStart w:id="62" w:name="_Toc462564074"/>
      <w:r/>
      <w:bookmarkStart w:id="63" w:name="_Toc20823287"/>
      <w:r/>
      <w:bookmarkStart w:id="64" w:name="_Toc513029215"/>
      <w:r/>
      <w:bookmarkStart w:id="65" w:name="_Toc16938531"/>
      <w:r>
        <w:rPr>
          <w:rFonts w:hint="eastAsia" w:ascii="宋体" w:hAnsi="宋体" w:cs="宋体"/>
          <w:color w:val="auto"/>
          <w:sz w:val="28"/>
          <w:szCs w:val="28"/>
          <w:highlight w:val="none"/>
        </w:rPr>
        <w:t xml:space="preserve">10.投标文件构成</w:t>
      </w:r>
      <w:bookmarkEnd w:id="62"/>
      <w:r/>
      <w:bookmarkEnd w:id="63"/>
      <w:r/>
      <w:bookmarkEnd w:id="64"/>
      <w:r/>
      <w:bookmarkEnd w:id="65"/>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10.2 如标书制作工具中格式和内容与“江苏政府采购网”发布的招标文件不一致，请以“江苏政府采购网”发布的招标文件为准。</w:t>
      </w:r>
      <w:r/>
    </w:p>
    <w:p>
      <w:pPr>
        <w:ind w:firstLine="420"/>
        <w:keepLines/>
        <w:keepNext/>
        <w:spacing w:line="450" w:lineRule="exact"/>
        <w:rPr>
          <w:rFonts w:hint="eastAsia" w:ascii="宋体" w:hAnsi="宋体" w:cs="宋体"/>
          <w:color w:val="auto"/>
          <w:sz w:val="28"/>
          <w:szCs w:val="28"/>
          <w:highlight w:val="none"/>
        </w:rPr>
        <w:outlineLvl w:val="3"/>
      </w:pPr>
      <w:r/>
      <w:bookmarkStart w:id="66" w:name="_Hlt26670360"/>
      <w:r/>
      <w:bookmarkEnd w:id="66"/>
      <w:r/>
      <w:bookmarkStart w:id="67" w:name="_Hlt26954838"/>
      <w:r/>
      <w:bookmarkEnd w:id="67"/>
      <w:r/>
      <w:bookmarkStart w:id="68" w:name="_Hlt26668975"/>
      <w:r/>
      <w:bookmarkEnd w:id="68"/>
      <w:r/>
      <w:bookmarkStart w:id="69" w:name="_Toc513029219"/>
      <w:r/>
      <w:bookmarkStart w:id="70" w:name="_Toc14577357"/>
      <w:r/>
      <w:bookmarkStart w:id="71" w:name="_Toc49090509"/>
      <w:r/>
      <w:bookmarkStart w:id="72" w:name="_Toc14577354"/>
      <w:r/>
      <w:bookmarkStart w:id="73" w:name="_Toc49090507"/>
      <w:r/>
      <w:bookmarkStart w:id="74" w:name="_Toc513029216"/>
      <w:r>
        <w:rPr>
          <w:rFonts w:hint="eastAsia" w:ascii="宋体" w:hAnsi="宋体" w:cs="宋体"/>
          <w:color w:val="auto"/>
          <w:sz w:val="28"/>
          <w:szCs w:val="28"/>
          <w:highlight w:val="none"/>
        </w:rPr>
        <w:t xml:space="preserve">11.证明投标人及投标标的符合招标文件规定的文件</w:t>
      </w:r>
      <w:bookmarkEnd w:id="69"/>
      <w:r/>
      <w:bookmarkEnd w:id="70"/>
      <w:r/>
      <w:bookmarkEnd w:id="71"/>
      <w:r/>
      <w:bookmarkEnd w:id="72"/>
      <w:r/>
      <w:bookmarkEnd w:id="73"/>
      <w:r/>
      <w:bookmarkEnd w:id="74"/>
      <w:r/>
      <w:r/>
    </w:p>
    <w:p>
      <w:pPr>
        <w:ind w:firstLine="480"/>
        <w:spacing w:line="450" w:lineRule="exact"/>
        <w:rPr>
          <w:rFonts w:hint="eastAsia" w:ascii="宋体" w:hAnsi="宋体" w:cs="宋体"/>
          <w:color w:val="auto"/>
          <w:sz w:val="24"/>
          <w:highlight w:val="none"/>
        </w:rPr>
      </w:pPr>
      <w:r/>
      <w:bookmarkStart w:id="75" w:name="_Toc14577355"/>
      <w:r/>
      <w:bookmarkStart w:id="76" w:name="_Toc49090508"/>
      <w:r>
        <w:rPr>
          <w:rFonts w:hint="eastAsia" w:ascii="宋体" w:hAnsi="宋体" w:cs="宋体"/>
          <w:color w:val="auto"/>
          <w:sz w:val="24"/>
          <w:highlight w:val="none"/>
        </w:rPr>
        <w:t xml:space="preserve">11.1 投标人应按照法律、法规、规章和规范性文件以及招标文件要求提交证明文件，证明其及投标标的符合招标文件规定。</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11.2 招标文件对证明文件无明确形式要求的，证明文件可以以文字资料、图纸和数据等形式提交。</w:t>
      </w:r>
      <w:r/>
    </w:p>
    <w:p>
      <w:pPr>
        <w:ind w:firstLine="420"/>
        <w:keepLines/>
        <w:keepNext/>
        <w:spacing w:line="45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12.投标分项报价</w:t>
      </w:r>
      <w:bookmarkEnd w:id="75"/>
      <w:r/>
      <w:bookmarkStart w:id="77" w:name="_Hlt26670373"/>
      <w:r/>
      <w:bookmarkEnd w:id="77"/>
      <w:r>
        <w:rPr>
          <w:rFonts w:hint="eastAsia" w:ascii="宋体" w:hAnsi="宋体" w:cs="宋体"/>
          <w:color w:val="auto"/>
          <w:sz w:val="28"/>
          <w:szCs w:val="28"/>
          <w:highlight w:val="none"/>
        </w:rPr>
        <w:t xml:space="preserve">表</w:t>
      </w:r>
      <w:bookmarkEnd w:id="76"/>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12.1 投</w:t>
      </w:r>
      <w:bookmarkStart w:id="78" w:name="_Hlt26954840"/>
      <w:r/>
      <w:bookmarkEnd w:id="78"/>
      <w:r>
        <w:rPr>
          <w:rFonts w:hint="eastAsia" w:ascii="宋体" w:hAnsi="宋体" w:cs="宋体"/>
          <w:color w:val="auto"/>
          <w:sz w:val="24"/>
          <w:highlight w:val="none"/>
        </w:rPr>
        <w:t xml:space="preserve">标人应按照招标文件规定格式填报投标分项报价表</w:t>
      </w:r>
      <w:bookmarkStart w:id="79" w:name="_Hlt26670399"/>
      <w:r/>
      <w:bookmarkEnd w:id="79"/>
      <w:r>
        <w:rPr>
          <w:rFonts w:hint="eastAsia" w:ascii="宋体" w:hAnsi="宋体" w:cs="宋体"/>
          <w:color w:val="auto"/>
          <w:sz w:val="24"/>
          <w:highlight w:val="none"/>
        </w:rPr>
        <w:t xml:space="preserve">。</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12.2 投标货币。投标文件中的单价和总价无特殊规定的采用人民币报价，以元为单位标注。招标文件中另有规定的按规定执行。</w:t>
      </w:r>
      <w:r/>
    </w:p>
    <w:p>
      <w:pPr>
        <w:ind w:firstLine="420"/>
        <w:keepLines/>
        <w:keepNext/>
        <w:spacing w:line="450" w:lineRule="exact"/>
        <w:rPr>
          <w:rFonts w:hint="eastAsia" w:ascii="宋体" w:hAnsi="宋体" w:cs="宋体"/>
          <w:color w:val="auto"/>
          <w:sz w:val="28"/>
          <w:szCs w:val="28"/>
          <w:highlight w:val="none"/>
        </w:rPr>
        <w:outlineLvl w:val="3"/>
      </w:pPr>
      <w:r/>
      <w:bookmarkStart w:id="80" w:name="_Hlt26670486"/>
      <w:r/>
      <w:bookmarkEnd w:id="80"/>
      <w:r/>
      <w:bookmarkStart w:id="81" w:name="_Hlt26954844"/>
      <w:r/>
      <w:bookmarkEnd w:id="81"/>
      <w:r/>
      <w:bookmarkStart w:id="82" w:name="_Hlt26954842"/>
      <w:r/>
      <w:bookmarkEnd w:id="82"/>
      <w:r/>
      <w:bookmarkStart w:id="83" w:name="_Hlt26670482"/>
      <w:r/>
      <w:bookmarkEnd w:id="83"/>
      <w:r/>
      <w:bookmarkStart w:id="84" w:name="_Hlt26670403"/>
      <w:r/>
      <w:bookmarkEnd w:id="84"/>
      <w:r/>
      <w:bookmarkStart w:id="85" w:name="_Hlt26954731"/>
      <w:r/>
      <w:bookmarkEnd w:id="85"/>
      <w:r/>
      <w:bookmarkStart w:id="86" w:name="_Hlt26954848"/>
      <w:r/>
      <w:bookmarkEnd w:id="86"/>
      <w:r/>
      <w:bookmarkStart w:id="87" w:name="_Hlt26954846"/>
      <w:r/>
      <w:bookmarkEnd w:id="87"/>
      <w:r/>
      <w:bookmarkStart w:id="88" w:name="_Hlt26668983"/>
      <w:r/>
      <w:bookmarkEnd w:id="88"/>
      <w:r/>
      <w:bookmarkStart w:id="89" w:name="_Hlt26670425"/>
      <w:r/>
      <w:bookmarkEnd w:id="89"/>
      <w:r>
        <w:rPr>
          <w:rFonts w:hint="eastAsia" w:ascii="宋体" w:hAnsi="宋体" w:cs="宋体"/>
          <w:color w:val="auto"/>
          <w:sz w:val="28"/>
          <w:szCs w:val="28"/>
          <w:highlight w:val="none"/>
        </w:rPr>
        <w:t xml:space="preserve">13.技术要求响应及偏离表、商务要求响应及偏离表</w:t>
      </w:r>
      <w:r/>
    </w:p>
    <w:p>
      <w:pPr>
        <w:ind w:firstLine="480"/>
        <w:spacing w:line="45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13.1 投标人需对招标文件中的技术要求与商务要求逐项作出响应或偏离，并说明原因。</w:t>
      </w:r>
      <w:r/>
    </w:p>
    <w:p>
      <w:pPr>
        <w:ind w:firstLine="480"/>
        <w:spacing w:line="45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13.2 投标人可在投标文件中提供认为需要的其他技术文件或说明。</w:t>
      </w:r>
      <w:r/>
    </w:p>
    <w:p>
      <w:pPr>
        <w:ind w:firstLine="420"/>
        <w:keepLines/>
        <w:keepNext/>
        <w:spacing w:line="450" w:lineRule="exact"/>
        <w:rPr>
          <w:rFonts w:hint="eastAsia" w:ascii="宋体" w:hAnsi="宋体" w:cs="宋体"/>
          <w:color w:val="auto"/>
          <w:sz w:val="28"/>
          <w:szCs w:val="28"/>
          <w:highlight w:val="none"/>
        </w:rPr>
        <w:outlineLvl w:val="3"/>
      </w:pPr>
      <w:r/>
      <w:bookmarkStart w:id="90" w:name="_Toc49090510"/>
      <w:r/>
      <w:bookmarkStart w:id="91" w:name="_Toc14577359"/>
      <w:r>
        <w:rPr>
          <w:rFonts w:hint="eastAsia" w:ascii="宋体" w:hAnsi="宋体" w:cs="宋体"/>
          <w:color w:val="auto"/>
          <w:sz w:val="28"/>
          <w:szCs w:val="28"/>
          <w:highlight w:val="none"/>
        </w:rPr>
        <w:t xml:space="preserve">14.投标函和开标一览表</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14.1 投标人应按照招标文件中提供的格式完整、正确填写投标函、开标一览表。</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90"/>
      <w:r/>
      <w:bookmarkEnd w:id="91"/>
      <w:r/>
      <w:r/>
    </w:p>
    <w:p>
      <w:pPr>
        <w:ind w:firstLine="420"/>
        <w:keepLines/>
        <w:keepNext/>
        <w:spacing w:line="450" w:lineRule="exact"/>
        <w:rPr>
          <w:rFonts w:hint="eastAsia" w:ascii="宋体" w:hAnsi="宋体" w:cs="宋体"/>
          <w:color w:val="auto"/>
          <w:sz w:val="28"/>
          <w:szCs w:val="28"/>
          <w:highlight w:val="none"/>
        </w:rPr>
        <w:outlineLvl w:val="3"/>
      </w:pPr>
      <w:r/>
      <w:bookmarkStart w:id="92" w:name="_Hlt26670489"/>
      <w:r/>
      <w:bookmarkEnd w:id="92"/>
      <w:r/>
      <w:bookmarkStart w:id="93" w:name="_Hlt26954850"/>
      <w:r/>
      <w:bookmarkEnd w:id="93"/>
      <w:r/>
      <w:bookmarkStart w:id="94" w:name="_Hlt26954734"/>
      <w:r/>
      <w:bookmarkEnd w:id="94"/>
      <w:r/>
      <w:bookmarkStart w:id="95" w:name="_Toc49090511"/>
      <w:r/>
      <w:bookmarkStart w:id="96" w:name="_Toc14577360"/>
      <w:r>
        <w:rPr>
          <w:rFonts w:hint="eastAsia" w:ascii="宋体" w:hAnsi="宋体" w:cs="宋体"/>
          <w:color w:val="auto"/>
          <w:sz w:val="28"/>
          <w:szCs w:val="28"/>
          <w:highlight w:val="none"/>
        </w:rPr>
        <w:t xml:space="preserve">15.投标有效期</w:t>
      </w:r>
      <w:bookmarkEnd w:id="95"/>
      <w:r/>
      <w:bookmarkEnd w:id="96"/>
      <w:r/>
      <w:r/>
    </w:p>
    <w:p>
      <w:pPr>
        <w:ind w:firstLine="480"/>
        <w:spacing w:line="450" w:lineRule="exact"/>
        <w:rPr>
          <w:rFonts w:hint="eastAsia" w:ascii="宋体" w:hAnsi="宋体" w:eastAsia="宋体" w:cs="宋体"/>
          <w:color w:val="auto"/>
          <w:sz w:val="24"/>
          <w:highlight w:val="none"/>
        </w:rPr>
      </w:pPr>
      <w:r>
        <w:rPr>
          <w:rFonts w:hint="eastAsia" w:ascii="宋体" w:hAnsi="宋体" w:cs="宋体"/>
          <w:bCs/>
          <w:color w:val="auto"/>
          <w:sz w:val="24"/>
          <w:highlight w:val="none"/>
        </w:rPr>
        <w:t xml:space="preserve">投标有效期为</w:t>
      </w:r>
      <w:r>
        <w:rPr>
          <w:rFonts w:hint="eastAsia" w:ascii="宋体" w:hAnsi="宋体" w:cs="宋体"/>
          <w:bCs/>
          <w:color w:val="auto"/>
          <w:sz w:val="24"/>
          <w:highlight w:val="none"/>
          <w:lang w:val="en-US" w:eastAsia="zh-CN"/>
        </w:rPr>
        <w:t xml:space="preserve">招标文件</w:t>
      </w:r>
      <w:r>
        <w:rPr>
          <w:rFonts w:hint="eastAsia" w:ascii="宋体" w:hAnsi="宋体" w:cs="宋体"/>
          <w:bCs/>
          <w:color w:val="auto"/>
          <w:sz w:val="24"/>
          <w:highlight w:val="none"/>
        </w:rPr>
        <w:t xml:space="preserve">规定的</w:t>
      </w:r>
      <w:r>
        <w:rPr>
          <w:rFonts w:hint="eastAsia" w:ascii="宋体" w:hAnsi="宋体" w:cs="宋体"/>
          <w:bCs/>
          <w:color w:val="auto"/>
          <w:sz w:val="24"/>
          <w:highlight w:val="none"/>
          <w:lang w:val="en-US" w:eastAsia="zh-CN"/>
        </w:rPr>
        <w:t xml:space="preserve">投标文件</w:t>
      </w:r>
      <w:r>
        <w:rPr>
          <w:rFonts w:hint="eastAsia" w:ascii="宋体" w:hAnsi="宋体" w:eastAsia="宋体" w:cs="宋体"/>
          <w:color w:val="auto"/>
          <w:sz w:val="24"/>
          <w:szCs w:val="24"/>
          <w:highlight w:val="none"/>
        </w:rPr>
        <w:t xml:space="preserve">提交截止时间后</w:t>
      </w:r>
      <w:r>
        <w:rPr>
          <w:rFonts w:hint="eastAsia" w:ascii="宋体" w:hAnsi="宋体" w:cs="宋体"/>
          <w:b/>
          <w:color w:val="auto"/>
          <w:sz w:val="24"/>
          <w:highlight w:val="none"/>
          <w:u w:val="single"/>
        </w:rPr>
        <w:t xml:space="preserve">六十（60）天</w:t>
      </w:r>
      <w:r>
        <w:rPr>
          <w:rFonts w:hint="eastAsia" w:ascii="宋体" w:hAnsi="宋体" w:cs="宋体"/>
          <w:bCs/>
          <w:color w:val="auto"/>
          <w:sz w:val="24"/>
          <w:highlight w:val="none"/>
        </w:rPr>
        <w:t xml:space="preserve">。投标有效期比规定短的将</w:t>
      </w:r>
      <w:r>
        <w:rPr>
          <w:rFonts w:hint="eastAsia" w:ascii="宋体" w:hAnsi="宋体" w:eastAsia="宋体" w:cs="宋体"/>
          <w:color w:val="auto"/>
          <w:sz w:val="24"/>
          <w:highlight w:val="none"/>
        </w:rPr>
        <w:t xml:space="preserve">被视为未实质性响应招标文件而予以拒绝。</w:t>
      </w:r>
      <w:r/>
    </w:p>
    <w:p>
      <w:pPr>
        <w:ind w:firstLine="480"/>
        <w:spacing w:line="45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在投标截止时间至招标文件中规定的投标有效期满之间的这段时间内，投标人不得撤回其投标。</w:t>
      </w:r>
      <w:r/>
    </w:p>
    <w:p>
      <w:pPr>
        <w:ind w:firstLine="420"/>
        <w:keepLines/>
        <w:keepNext/>
        <w:spacing w:line="45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16.投标有效期的延长</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在特殊情况下，</w:t>
      </w:r>
      <w:r>
        <w:rPr>
          <w:rFonts w:hint="eastAsia" w:ascii="宋体" w:hAnsi="宋体" w:cs="宋体"/>
          <w:bCs/>
          <w:color w:val="auto"/>
          <w:sz w:val="24"/>
          <w:highlight w:val="none"/>
        </w:rPr>
        <w:t xml:space="preserve">采购人</w:t>
      </w:r>
      <w:r>
        <w:rPr>
          <w:rFonts w:hint="eastAsia" w:ascii="宋体" w:hAnsi="宋体" w:cs="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highlight w:val="none"/>
        </w:rPr>
        <w:t xml:space="preserve">采购人</w:t>
      </w:r>
      <w:r>
        <w:rPr>
          <w:rFonts w:hint="eastAsia" w:ascii="宋体" w:hAnsi="宋体" w:cs="宋体"/>
          <w:color w:val="auto"/>
          <w:sz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450" w:lineRule="exact"/>
        <w:rPr>
          <w:rFonts w:hint="eastAsia" w:ascii="宋体" w:hAnsi="宋体" w:cs="宋体"/>
          <w:b/>
          <w:bCs/>
          <w:color w:val="auto"/>
          <w:sz w:val="32"/>
          <w:szCs w:val="32"/>
          <w:highlight w:val="none"/>
        </w:rPr>
        <w:outlineLvl w:val="2"/>
      </w:pPr>
      <w:r/>
      <w:bookmarkStart w:id="97" w:name="_Hlt26954739"/>
      <w:r/>
      <w:bookmarkEnd w:id="97"/>
      <w:r/>
      <w:bookmarkStart w:id="98" w:name="_Hlt26954852"/>
      <w:r/>
      <w:bookmarkEnd w:id="98"/>
      <w:r/>
      <w:bookmarkStart w:id="99" w:name="_Toc22817"/>
      <w:r/>
      <w:bookmarkStart w:id="100" w:name="_Toc20823296"/>
      <w:r/>
      <w:bookmarkStart w:id="101" w:name="_Toc120614217"/>
      <w:r/>
      <w:bookmarkStart w:id="102" w:name="_Toc513029224"/>
      <w:r/>
      <w:bookmarkStart w:id="103" w:name="_Toc16938540"/>
      <w:r/>
      <w:bookmarkStart w:id="104" w:name="_Toc16170"/>
      <w:r>
        <w:rPr>
          <w:rFonts w:hint="eastAsia" w:ascii="宋体" w:hAnsi="宋体" w:cs="宋体"/>
          <w:b/>
          <w:bCs/>
          <w:color w:val="auto"/>
          <w:sz w:val="32"/>
          <w:szCs w:val="32"/>
          <w:highlight w:val="none"/>
        </w:rPr>
        <w:t xml:space="preserve">四、投标文件的递交</w:t>
      </w:r>
      <w:bookmarkEnd w:id="99"/>
      <w:r/>
      <w:bookmarkEnd w:id="100"/>
      <w:r/>
      <w:bookmarkEnd w:id="101"/>
      <w:r/>
      <w:bookmarkEnd w:id="102"/>
      <w:r/>
      <w:bookmarkEnd w:id="103"/>
      <w:r/>
      <w:bookmarkEnd w:id="104"/>
      <w:r/>
      <w:r/>
    </w:p>
    <w:p>
      <w:pPr>
        <w:ind w:firstLine="560"/>
        <w:keepLines/>
        <w:keepNext/>
        <w:spacing w:line="450" w:lineRule="exact"/>
        <w:rPr>
          <w:rFonts w:hint="eastAsia" w:ascii="宋体" w:hAnsi="宋体" w:cs="宋体"/>
          <w:color w:val="auto"/>
          <w:sz w:val="28"/>
          <w:szCs w:val="28"/>
          <w:highlight w:val="none"/>
        </w:rPr>
        <w:outlineLvl w:val="3"/>
      </w:pPr>
      <w:r/>
      <w:bookmarkStart w:id="105" w:name="_Toc513029225"/>
      <w:r/>
      <w:bookmarkStart w:id="106" w:name="_Toc20823297"/>
      <w:r/>
      <w:bookmarkStart w:id="107" w:name="_Toc462564084"/>
      <w:r/>
      <w:bookmarkStart w:id="108" w:name="_Toc16938541"/>
      <w:r>
        <w:rPr>
          <w:rFonts w:hint="eastAsia" w:ascii="宋体" w:hAnsi="宋体" w:cs="宋体"/>
          <w:color w:val="auto"/>
          <w:sz w:val="28"/>
          <w:szCs w:val="28"/>
          <w:highlight w:val="none"/>
        </w:rPr>
        <w:t xml:space="preserve">17.投标文件</w:t>
      </w:r>
      <w:bookmarkEnd w:id="105"/>
      <w:r/>
      <w:bookmarkEnd w:id="106"/>
      <w:r/>
      <w:bookmarkEnd w:id="107"/>
      <w:r/>
      <w:bookmarkEnd w:id="108"/>
      <w:r>
        <w:rPr>
          <w:rFonts w:hint="eastAsia" w:ascii="宋体" w:hAnsi="宋体" w:cs="宋体"/>
          <w:color w:val="auto"/>
          <w:sz w:val="28"/>
          <w:szCs w:val="28"/>
          <w:highlight w:val="none"/>
        </w:rPr>
        <w:t xml:space="preserve">的递交</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109" w:name="_Toc20823298"/>
      <w:r/>
      <w:bookmarkStart w:id="110" w:name="_Toc513029226"/>
      <w:r/>
      <w:bookmarkStart w:id="111" w:name="_Toc16938542"/>
      <w:r/>
      <w:r/>
    </w:p>
    <w:p>
      <w:pPr>
        <w:ind w:firstLine="420"/>
        <w:keepLines/>
        <w:keepNext/>
        <w:spacing w:line="45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18.投标截止</w:t>
      </w:r>
      <w:bookmarkEnd w:id="109"/>
      <w:r/>
      <w:bookmarkEnd w:id="110"/>
      <w:r/>
      <w:bookmarkEnd w:id="111"/>
      <w:r>
        <w:rPr>
          <w:rFonts w:hint="eastAsia" w:ascii="宋体" w:hAnsi="宋体" w:cs="宋体"/>
          <w:color w:val="auto"/>
          <w:sz w:val="28"/>
          <w:szCs w:val="28"/>
          <w:highlight w:val="none"/>
        </w:rPr>
        <w:t xml:space="preserve">时间</w:t>
      </w:r>
      <w:r/>
    </w:p>
    <w:p>
      <w:pPr>
        <w:ind w:firstLine="482"/>
        <w:spacing w:line="450" w:lineRule="exact"/>
        <w:rPr>
          <w:rFonts w:hint="eastAsia" w:ascii="宋体" w:hAnsi="宋体" w:cs="宋体"/>
          <w:color w:val="auto"/>
          <w:sz w:val="24"/>
          <w:highlight w:val="none"/>
        </w:rPr>
      </w:pPr>
      <w:r>
        <w:rPr>
          <w:rFonts w:hint="eastAsia" w:ascii="宋体" w:hAnsi="宋体" w:cs="宋体"/>
          <w:b/>
          <w:bCs/>
          <w:color w:val="auto"/>
          <w:sz w:val="24"/>
          <w:highlight w:val="none"/>
          <w:u w:val="single"/>
        </w:rPr>
        <w:t xml:space="preserve">18.1 投标人上传电子投标文件的时间不得迟于招标公告中规定的投标截止时间</w:t>
      </w:r>
      <w:r>
        <w:rPr>
          <w:rFonts w:hint="eastAsia" w:ascii="宋体" w:hAnsi="宋体" w:cs="宋体"/>
          <w:color w:val="auto"/>
          <w:sz w:val="24"/>
          <w:highlight w:val="none"/>
        </w:rPr>
        <w:t xml:space="preserve">。</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18.2 采购人可以按照规定，通过修改招标文件酌情延长投标截止时间，在此情况下，投标人的所有权利和义务以及投标人受制的截止时间均应以延长后新的截止时间为准。</w:t>
      </w:r>
      <w:r/>
    </w:p>
    <w:p>
      <w:pPr>
        <w:ind w:firstLine="420"/>
        <w:keepLines/>
        <w:keepNext/>
        <w:spacing w:line="450" w:lineRule="exact"/>
        <w:rPr>
          <w:rFonts w:hint="eastAsia" w:ascii="宋体" w:hAnsi="宋体" w:cs="宋体"/>
          <w:color w:val="auto"/>
          <w:sz w:val="28"/>
          <w:szCs w:val="28"/>
          <w:highlight w:val="none"/>
        </w:rPr>
        <w:outlineLvl w:val="3"/>
      </w:pPr>
      <w:r/>
      <w:bookmarkStart w:id="112" w:name="_Toc16938543"/>
      <w:r/>
      <w:bookmarkStart w:id="113" w:name="_Toc513029227"/>
      <w:r/>
      <w:bookmarkStart w:id="114" w:name="_Toc20823299"/>
      <w:r>
        <w:rPr>
          <w:rFonts w:hint="eastAsia" w:ascii="宋体" w:hAnsi="宋体" w:cs="宋体"/>
          <w:color w:val="auto"/>
          <w:sz w:val="28"/>
          <w:szCs w:val="28"/>
          <w:highlight w:val="none"/>
        </w:rPr>
        <w:t xml:space="preserve">19.投标文件</w:t>
      </w:r>
      <w:bookmarkEnd w:id="112"/>
      <w:r/>
      <w:bookmarkEnd w:id="113"/>
      <w:r/>
      <w:bookmarkEnd w:id="114"/>
      <w:r>
        <w:rPr>
          <w:rFonts w:hint="eastAsia" w:ascii="宋体" w:hAnsi="宋体" w:cs="宋体"/>
          <w:color w:val="auto"/>
          <w:sz w:val="28"/>
          <w:szCs w:val="28"/>
          <w:highlight w:val="none"/>
        </w:rPr>
        <w:t xml:space="preserve">的拒收</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采购人或采购代理机构拒绝接收在其规定的投标截止时间后上传的任何投标文件。</w:t>
      </w:r>
      <w:r/>
    </w:p>
    <w:p>
      <w:pPr>
        <w:ind w:firstLine="420"/>
        <w:keepLines/>
        <w:keepNext/>
        <w:spacing w:line="450" w:lineRule="exact"/>
        <w:rPr>
          <w:rFonts w:hint="eastAsia" w:ascii="宋体" w:hAnsi="宋体" w:cs="宋体"/>
          <w:color w:val="auto"/>
          <w:sz w:val="28"/>
          <w:szCs w:val="28"/>
          <w:highlight w:val="none"/>
        </w:rPr>
        <w:outlineLvl w:val="3"/>
      </w:pPr>
      <w:r/>
      <w:bookmarkStart w:id="115" w:name="_Toc16938544"/>
      <w:r/>
      <w:bookmarkStart w:id="116" w:name="_Toc20823300"/>
      <w:r/>
      <w:bookmarkStart w:id="117" w:name="_Toc513029228"/>
      <w:r>
        <w:rPr>
          <w:rFonts w:hint="eastAsia" w:ascii="宋体" w:hAnsi="宋体" w:cs="宋体"/>
          <w:color w:val="auto"/>
          <w:sz w:val="28"/>
          <w:szCs w:val="28"/>
          <w:highlight w:val="none"/>
        </w:rPr>
        <w:t xml:space="preserve">20、投标文件的撤回和修改</w:t>
      </w:r>
      <w:bookmarkEnd w:id="115"/>
      <w:r/>
      <w:bookmarkEnd w:id="116"/>
      <w:r/>
      <w:bookmarkEnd w:id="117"/>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20.1 投标文件的撤回</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21.1.1 电子投标文件的撤回</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21.1.2 投标人撤回电子投标文件，则认为其不再参与本项目投标活动。</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20.2 投标文件的修改</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20.2.2 在投标截止时间之后，投标人不得对其电子投标文件作任何修改。</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20.3 在投标截止时间至招标文件中规定的投标有效期满之间的这段时间内，投标人不得撤回其投标。</w:t>
      </w:r>
      <w:r/>
    </w:p>
    <w:p>
      <w:pPr>
        <w:ind w:firstLine="482"/>
        <w:keepLines/>
        <w:keepNext/>
        <w:spacing w:before="145" w:after="145" w:line="450" w:lineRule="exact"/>
        <w:rPr>
          <w:rFonts w:hint="eastAsia" w:ascii="宋体" w:hAnsi="宋体" w:cs="宋体"/>
          <w:b/>
          <w:bCs/>
          <w:color w:val="auto"/>
          <w:sz w:val="32"/>
          <w:szCs w:val="32"/>
          <w:highlight w:val="none"/>
        </w:rPr>
        <w:outlineLvl w:val="2"/>
      </w:pPr>
      <w:r/>
      <w:bookmarkStart w:id="118" w:name="_Toc9761"/>
      <w:r/>
      <w:bookmarkStart w:id="119" w:name="_Toc120614218"/>
      <w:r/>
      <w:bookmarkStart w:id="120" w:name="_Toc109"/>
      <w:r/>
      <w:bookmarkStart w:id="121" w:name="_Toc16938545"/>
      <w:r/>
      <w:bookmarkStart w:id="122" w:name="_Toc20823301"/>
      <w:r/>
      <w:bookmarkStart w:id="123" w:name="_Toc513029229"/>
      <w:r>
        <w:rPr>
          <w:rFonts w:hint="eastAsia" w:ascii="宋体" w:hAnsi="宋体" w:cs="宋体"/>
          <w:b/>
          <w:bCs/>
          <w:color w:val="auto"/>
          <w:sz w:val="32"/>
          <w:szCs w:val="32"/>
          <w:highlight w:val="none"/>
        </w:rPr>
        <w:t xml:space="preserve">五、开标与评标</w:t>
      </w:r>
      <w:bookmarkEnd w:id="118"/>
      <w:r/>
      <w:bookmarkEnd w:id="119"/>
      <w:r/>
      <w:bookmarkEnd w:id="120"/>
      <w:r/>
      <w:bookmarkEnd w:id="121"/>
      <w:r/>
      <w:bookmarkEnd w:id="122"/>
      <w:r/>
      <w:bookmarkEnd w:id="123"/>
      <w:r/>
      <w:r/>
    </w:p>
    <w:p>
      <w:pPr>
        <w:ind w:firstLine="420"/>
        <w:keepLines/>
        <w:keepNext/>
        <w:spacing w:line="450" w:lineRule="exact"/>
        <w:rPr>
          <w:rFonts w:hint="eastAsia" w:ascii="宋体" w:hAnsi="宋体" w:cs="宋体"/>
          <w:color w:val="auto"/>
          <w:sz w:val="28"/>
          <w:szCs w:val="28"/>
          <w:highlight w:val="none"/>
        </w:rPr>
        <w:outlineLvl w:val="3"/>
      </w:pPr>
      <w:r/>
      <w:bookmarkStart w:id="124" w:name="_Toc20823302"/>
      <w:r/>
      <w:bookmarkStart w:id="125" w:name="_Toc16938546"/>
      <w:r/>
      <w:bookmarkStart w:id="126" w:name="_Toc513029230"/>
      <w:r>
        <w:rPr>
          <w:rFonts w:hint="eastAsia" w:ascii="宋体" w:hAnsi="宋体" w:cs="宋体"/>
          <w:color w:val="auto"/>
          <w:sz w:val="28"/>
          <w:szCs w:val="28"/>
          <w:highlight w:val="none"/>
        </w:rPr>
        <w:t xml:space="preserve">21.开标</w:t>
      </w:r>
      <w:bookmarkEnd w:id="124"/>
      <w:r/>
      <w:bookmarkEnd w:id="125"/>
      <w:r/>
      <w:bookmarkEnd w:id="126"/>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21.2 开标仪式由采购代理机构组织。苏采云系统将自动对项目进行开标，并宣布各投标人名称和投标价格。</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21.3 投标人在开标过程中涉及的投标文件解密、开标结果确认等工作，应按照《操作手册》规定执行。</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21.4 投标人如果对开标过程和开标记录有疑义，应当根据《操作手册》规定提出，如苏采云系统中《开标记录表》宣布后5分钟内未提出的，视同认可开标结果。</w:t>
      </w:r>
      <w:r/>
    </w:p>
    <w:p>
      <w:pPr>
        <w:ind w:firstLine="420"/>
        <w:keepLines/>
        <w:keepNext/>
        <w:spacing w:line="450" w:lineRule="exact"/>
        <w:rPr>
          <w:rFonts w:hint="eastAsia" w:ascii="宋体" w:hAnsi="宋体" w:cs="宋体"/>
          <w:color w:val="auto"/>
          <w:sz w:val="28"/>
          <w:szCs w:val="28"/>
          <w:highlight w:val="none"/>
        </w:rPr>
        <w:outlineLvl w:val="3"/>
      </w:pPr>
      <w:r/>
      <w:bookmarkStart w:id="127" w:name="_Toc20823303"/>
      <w:r/>
      <w:bookmarkStart w:id="128" w:name="_Toc513029231"/>
      <w:r/>
      <w:bookmarkStart w:id="129" w:name="_Toc16938547"/>
      <w:r>
        <w:rPr>
          <w:rFonts w:hint="eastAsia" w:ascii="宋体" w:hAnsi="宋体" w:cs="宋体"/>
          <w:color w:val="auto"/>
          <w:sz w:val="28"/>
          <w:szCs w:val="28"/>
          <w:highlight w:val="none"/>
        </w:rPr>
        <w:t xml:space="preserve">22、评标委员会</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22.1 开标后，采购人将立即组织评标委员会（以下简称评委会）进行评标。</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22.2 评委会由采购人代表和有关技术、经济等方面的专家组成，且人员构成符合政府采购有关规定。</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22.3 评委会独立工作，负责评审所有投标文件并确定中标候选人。</w:t>
      </w:r>
      <w:r/>
    </w:p>
    <w:p>
      <w:pPr>
        <w:ind w:firstLine="420"/>
        <w:keepLines/>
        <w:keepNext/>
        <w:spacing w:line="45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23.评标过程的保密与公正</w:t>
      </w:r>
      <w:bookmarkEnd w:id="127"/>
      <w:r/>
      <w:bookmarkEnd w:id="128"/>
      <w:r/>
      <w:bookmarkEnd w:id="129"/>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23.1 凡是与审查、澄清、评价和比较投标的有关资料以及投标建议等，采购人、评委、采购代理机构均不得向投标人或与评标无关的其他人员透露。</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23.2 在评标过程中，投标人不得以任何行为影响评标过程，否则其投标文件将被作为无效投标文件。</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23.3 采购人、采购代理机构和评标委员会不向未中标的投标人解释未中标原因，也不公布评标过程中的相关细节。</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23.4 采用综合评分法的项目，未中标的投标人可于中标结果公告期限届满之日起通过苏采云系统查看自己的评审得分及排序情况。</w:t>
      </w:r>
      <w:r/>
    </w:p>
    <w:p>
      <w:pPr>
        <w:ind w:firstLine="420"/>
        <w:keepLines/>
        <w:keepNext/>
        <w:spacing w:line="450" w:lineRule="exact"/>
        <w:rPr>
          <w:rFonts w:hint="eastAsia" w:ascii="宋体" w:hAnsi="宋体" w:cs="宋体"/>
          <w:color w:val="auto"/>
          <w:sz w:val="28"/>
          <w:szCs w:val="28"/>
          <w:highlight w:val="none"/>
        </w:rPr>
        <w:outlineLvl w:val="3"/>
      </w:pPr>
      <w:r/>
      <w:bookmarkStart w:id="130" w:name="_Toc513029232"/>
      <w:r/>
      <w:bookmarkStart w:id="131" w:name="_Toc20823304"/>
      <w:r/>
      <w:bookmarkStart w:id="132" w:name="_Toc16938548"/>
      <w:r>
        <w:rPr>
          <w:rFonts w:hint="eastAsia" w:ascii="宋体" w:hAnsi="宋体" w:cs="宋体"/>
          <w:color w:val="auto"/>
          <w:sz w:val="28"/>
          <w:szCs w:val="28"/>
          <w:highlight w:val="none"/>
        </w:rPr>
        <w:t xml:space="preserve">24.投标文件的澄清</w:t>
      </w:r>
      <w:bookmarkEnd w:id="130"/>
      <w:r/>
      <w:bookmarkEnd w:id="131"/>
      <w:r/>
      <w:bookmarkEnd w:id="132"/>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24.1 评标期间，评委会对投标文件中含义不明确、同类问题表述不一致或者有明显文字和计算错误的内容 ，有权要求投标人作出必要的澄清、说明或者补正。</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24.3 接到评委会澄清、说明和补正要求的投标人如未按规定做出澄清、说明和补正，其风险由投标人自行承担。</w:t>
      </w:r>
      <w:r/>
    </w:p>
    <w:p>
      <w:pPr>
        <w:ind w:firstLine="420"/>
        <w:keepLines/>
        <w:keepNext/>
        <w:spacing w:line="450" w:lineRule="exact"/>
        <w:rPr>
          <w:rFonts w:hint="eastAsia" w:ascii="宋体" w:hAnsi="宋体" w:cs="宋体"/>
          <w:color w:val="auto"/>
          <w:sz w:val="28"/>
          <w:szCs w:val="28"/>
          <w:highlight w:val="none"/>
        </w:rPr>
        <w:outlineLvl w:val="3"/>
      </w:pPr>
      <w:r/>
      <w:bookmarkStart w:id="133" w:name="_Toc20823305"/>
      <w:r/>
      <w:bookmarkStart w:id="134" w:name="_Toc16938549"/>
      <w:r/>
      <w:bookmarkStart w:id="135" w:name="_Toc513029233"/>
      <w:r>
        <w:rPr>
          <w:rFonts w:hint="eastAsia" w:ascii="宋体" w:hAnsi="宋体" w:cs="宋体"/>
          <w:color w:val="auto"/>
          <w:sz w:val="28"/>
          <w:szCs w:val="28"/>
          <w:highlight w:val="none"/>
        </w:rPr>
        <w:t xml:space="preserve">25.对投标文件的初审</w:t>
      </w:r>
      <w:bookmarkEnd w:id="133"/>
      <w:r/>
      <w:bookmarkEnd w:id="134"/>
      <w:r/>
      <w:bookmarkEnd w:id="135"/>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25.1 投标文件初审分为资格审查和符合性审查。</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rPr>
        <w:t xml:space="preserve">采购人</w:t>
      </w:r>
      <w:r>
        <w:rPr>
          <w:rFonts w:hint="eastAsia" w:ascii="宋体" w:hAnsi="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25.3 如果投标文件实质上没有响应招标文件的要求，评委会将予以拒绝，投标人不得通过修改或撤销不合要求的偏离或保留而使其投标成为实质性响应的投标。</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25.4 评委会将对确定为实质性响应的投标进行进一步审核，确定其是否有计算上或累加上的算术错误，修正错误的原则如下：</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50" w:lineRule="exact"/>
        <w:rPr>
          <w:rFonts w:hint="eastAsia" w:ascii="宋体" w:hAnsi="宋体" w:cs="宋体"/>
          <w:color w:val="auto"/>
          <w:sz w:val="24"/>
          <w:highlight w:val="none"/>
        </w:rPr>
      </w:pPr>
      <w:r/>
      <w:bookmarkStart w:id="136" w:name="_Toc16938550"/>
      <w:r/>
      <w:bookmarkStart w:id="137" w:name="_Toc513029234"/>
      <w:r/>
      <w:bookmarkStart w:id="138" w:name="_Toc20823306"/>
      <w:r>
        <w:rPr>
          <w:rFonts w:hint="eastAsia" w:ascii="宋体" w:hAnsi="宋体" w:cs="宋体"/>
          <w:color w:val="auto"/>
          <w:sz w:val="24"/>
          <w:highlight w:val="none"/>
        </w:rPr>
        <w:t xml:space="preserve">25.6 投标人在开、评标全过程中应保持通讯畅通，及时登录苏采云系统查阅、答复相关信息，并安排专人与采购人、采购代理机构及评标委员会联系。</w:t>
      </w:r>
      <w:r/>
    </w:p>
    <w:p>
      <w:pPr>
        <w:ind w:firstLine="420"/>
        <w:keepLines/>
        <w:keepNext/>
        <w:spacing w:line="45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26</w:t>
      </w:r>
      <w:bookmarkEnd w:id="136"/>
      <w:r/>
      <w:bookmarkEnd w:id="137"/>
      <w:r/>
      <w:bookmarkEnd w:id="138"/>
      <w:r>
        <w:rPr>
          <w:rFonts w:hint="eastAsia" w:ascii="宋体" w:hAnsi="宋体" w:cs="宋体"/>
          <w:color w:val="auto"/>
          <w:sz w:val="28"/>
          <w:szCs w:val="28"/>
          <w:highlight w:val="none"/>
        </w:rPr>
        <w:t xml:space="preserve">.无效投标条款和废标条款</w:t>
      </w:r>
      <w:r/>
    </w:p>
    <w:p>
      <w:pPr>
        <w:ind w:firstLine="480"/>
        <w:spacing w:line="450" w:lineRule="exact"/>
        <w:rPr>
          <w:rFonts w:hint="eastAsia" w:ascii="宋体" w:hAnsi="宋体" w:cs="宋体"/>
          <w:color w:val="auto"/>
          <w:sz w:val="24"/>
          <w:highlight w:val="none"/>
        </w:rPr>
      </w:pPr>
      <w:r/>
      <w:bookmarkStart w:id="139" w:name="_Toc20823307"/>
      <w:r/>
      <w:bookmarkStart w:id="140" w:name="_Toc16938551"/>
      <w:r/>
      <w:bookmarkStart w:id="141" w:name="_Toc513029235"/>
      <w:r>
        <w:rPr>
          <w:rFonts w:hint="eastAsia" w:ascii="宋体" w:hAnsi="宋体" w:cs="宋体"/>
          <w:color w:val="auto"/>
          <w:sz w:val="24"/>
          <w:highlight w:val="none"/>
        </w:rPr>
        <w:t xml:space="preserve">26.1 无效投标条款</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26.1.1 投标人在苏采云系统规定的时间内未成功解密电子投标文件的。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26.1.2 投标人未按照招标文件要求上传电子投标文件的。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26.1.3 同一投标人提交两个（含两个）以上不同的投标报价的。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26.1.4 投标人不具备招标文件中规定资格要求的。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26.1.5 投标人的报价超过了采购预算或最高限价的。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26.1.6 未通过符合性审查的。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26.1.7 不符合招标文件中规定的实质性要求和条件的。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26.1.9 投标文件含有采购人不能接受的附加条件的。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26.1.10 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26.1.11 投标文件未按照招标文件要求加盖CA电子公章的。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26.1.12 其他法律、法规及本招标文件规定的属无效投标的情形。</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26.2 废标条款</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26.2.1 符合专业条件的供应商或者对招标文件作实质响应的供应商不足三家的。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26.2.2 出现影响采购公正的违法、违规行为的。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26.2.3 因重大变故，采购任务取消的。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26.2.4 评标委员会认定招标文件存在歧义、重大缺陷导致评审工作无法进行。</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26.2.5 因苏采云系统故障原因造成开标不成功的。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26.3 投标截止时间结束后参加投标的供应商不足三家的处理：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26.3.1 如出现投标截止时间结束后参加投标的供应商或者在评标期间对招标文件做出实质响应的供应商不足三家情况，按政府采购相关规定执行。</w:t>
      </w:r>
      <w:r/>
    </w:p>
    <w:p>
      <w:pPr>
        <w:ind w:firstLine="480"/>
        <w:spacing w:line="45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26.4 政府采购异常低价审查： </w:t>
      </w:r>
      <w:r/>
    </w:p>
    <w:p>
      <w:pPr>
        <w:ind w:firstLine="480"/>
        <w:spacing w:line="45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（1）评审过程中出现下列情形之一的，评审委员会应当启动异常低价投标（响应）审查程序：</w:t>
      </w:r>
      <w:r/>
    </w:p>
    <w:p>
      <w:pPr>
        <w:ind w:firstLine="480"/>
        <w:spacing w:line="45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①投标（响应）报价低于全部通过符合性审查投标人投标（响应）报价平均值50%的，即投标（响应）报价&lt;全部通过符合性审查投标人投标（响应）报价平均值×50%；</w:t>
      </w:r>
      <w:r/>
    </w:p>
    <w:p>
      <w:pPr>
        <w:ind w:firstLine="480"/>
        <w:spacing w:line="45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②投标（响应）报价低于通过符合性审查的次低报价投标人投标（响应）报价50%的，即投标（响应）报价&lt;通过符合性审查的次低报价投标人投标（响应）报价×50%；</w:t>
      </w:r>
      <w:r/>
    </w:p>
    <w:p>
      <w:pPr>
        <w:ind w:firstLine="480"/>
        <w:spacing w:line="45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③投标（响应）报价低于采购项目最高限价45%的，即投标（响应）报价&lt;采购项目最高限价×45%；</w:t>
      </w:r>
      <w:r/>
    </w:p>
    <w:p>
      <w:pPr>
        <w:ind w:firstLine="480"/>
        <w:spacing w:line="45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④评审委员会基于专业判断，认为投标人报价过低，有可能影响产品质量或者不能诚信履约的其他情形。</w:t>
      </w:r>
      <w:r/>
    </w:p>
    <w:p>
      <w:pPr>
        <w:ind w:firstLine="480"/>
        <w:spacing w:line="45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cs="宋体"/>
          <w:b/>
          <w:bCs/>
          <w:color w:val="auto"/>
          <w:sz w:val="24"/>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cs="宋体"/>
          <w:b/>
          <w:bCs/>
          <w:color w:val="auto"/>
          <w:sz w:val="24"/>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82"/>
        <w:keepLines/>
        <w:keepNext/>
        <w:spacing w:before="145" w:after="145" w:line="450" w:lineRule="exact"/>
        <w:rPr>
          <w:rFonts w:hint="eastAsia" w:ascii="宋体" w:hAnsi="宋体" w:cs="宋体"/>
          <w:b/>
          <w:bCs/>
          <w:color w:val="auto"/>
          <w:sz w:val="32"/>
          <w:szCs w:val="32"/>
          <w:highlight w:val="none"/>
        </w:rPr>
        <w:outlineLvl w:val="2"/>
      </w:pPr>
      <w:r/>
      <w:bookmarkStart w:id="142" w:name="_Toc3443"/>
      <w:r/>
      <w:bookmarkStart w:id="143" w:name="_Toc31095"/>
      <w:r/>
      <w:bookmarkStart w:id="144" w:name="_Toc120614219"/>
      <w:r>
        <w:rPr>
          <w:rFonts w:hint="eastAsia" w:ascii="宋体" w:hAnsi="宋体" w:cs="宋体"/>
          <w:b/>
          <w:bCs/>
          <w:color w:val="auto"/>
          <w:sz w:val="32"/>
          <w:szCs w:val="32"/>
          <w:highlight w:val="none"/>
        </w:rPr>
        <w:t xml:space="preserve">六、</w:t>
      </w:r>
      <w:bookmarkEnd w:id="139"/>
      <w:r/>
      <w:bookmarkEnd w:id="140"/>
      <w:r/>
      <w:bookmarkEnd w:id="141"/>
      <w:r>
        <w:rPr>
          <w:rFonts w:hint="eastAsia" w:ascii="宋体" w:hAnsi="宋体" w:cs="宋体"/>
          <w:b/>
          <w:bCs/>
          <w:color w:val="auto"/>
          <w:sz w:val="32"/>
          <w:szCs w:val="32"/>
          <w:highlight w:val="none"/>
        </w:rPr>
        <w:t xml:space="preserve">定标</w:t>
      </w:r>
      <w:bookmarkEnd w:id="142"/>
      <w:r/>
      <w:bookmarkEnd w:id="143"/>
      <w:r/>
      <w:bookmarkEnd w:id="144"/>
      <w:r/>
      <w:r/>
    </w:p>
    <w:p>
      <w:pPr>
        <w:ind w:firstLine="600"/>
        <w:keepLines/>
        <w:keepNext/>
        <w:spacing w:line="450" w:lineRule="exact"/>
        <w:rPr>
          <w:rFonts w:hint="eastAsia" w:ascii="宋体" w:hAnsi="宋体" w:cs="宋体"/>
          <w:bCs/>
          <w:color w:val="auto"/>
          <w:sz w:val="30"/>
          <w:szCs w:val="30"/>
          <w:highlight w:val="none"/>
        </w:rPr>
        <w:outlineLvl w:val="3"/>
      </w:pPr>
      <w:r/>
      <w:bookmarkStart w:id="145" w:name="_Toc513029238"/>
      <w:r/>
      <w:bookmarkStart w:id="146" w:name="_Toc16938554"/>
      <w:r/>
      <w:bookmarkStart w:id="147" w:name="_Toc20823310"/>
      <w:r>
        <w:rPr>
          <w:rFonts w:hint="eastAsia" w:ascii="宋体" w:hAnsi="宋体" w:cs="宋体"/>
          <w:bCs/>
          <w:color w:val="auto"/>
          <w:sz w:val="30"/>
          <w:szCs w:val="30"/>
          <w:highlight w:val="none"/>
        </w:rPr>
        <w:t xml:space="preserve">27</w:t>
      </w:r>
      <w:bookmarkEnd w:id="145"/>
      <w:r>
        <w:rPr>
          <w:rFonts w:hint="eastAsia" w:ascii="宋体" w:hAnsi="宋体" w:cs="宋体"/>
          <w:bCs/>
          <w:color w:val="auto"/>
          <w:sz w:val="30"/>
          <w:szCs w:val="30"/>
          <w:highlight w:val="none"/>
        </w:rPr>
        <w:t xml:space="preserve">.确定</w:t>
      </w:r>
      <w:bookmarkEnd w:id="146"/>
      <w:r/>
      <w:bookmarkEnd w:id="147"/>
      <w:r>
        <w:rPr>
          <w:rFonts w:hint="eastAsia" w:ascii="宋体" w:hAnsi="宋体" w:cs="宋体"/>
          <w:bCs/>
          <w:color w:val="auto"/>
          <w:sz w:val="30"/>
          <w:szCs w:val="30"/>
          <w:highlight w:val="none"/>
        </w:rPr>
        <w:t xml:space="preserve">中标单位</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27.1 中标候选人的选取原则和数量见招标文件第五章规定。 </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27.2 评标结果按评审后得分由高到低顺序排列。投标文件满足招标文件全部实质性要求，且按照评审因素的量化指标评审得分由高到低排名 1-3 的投标人为中标候选人，若得分相同，由采购人以现场抽签方式确定排序。</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27.3 采购人或采购代理机构将在“江苏政府采购网”发布中标公告，公告期限为1个工作日。</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27.4 若有充分证据证明，中标人出现下列情况之一的，一经查实，将被取消中标资格：</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27.4.1 提供虚假材料谋取中标的。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27.4.2 向采购人、采购代理机构行贿或者提供其他不正当利益的。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27.4.3 属于本文件规定的无效条件，但在评标过程中又未被评委会发现的。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27.4.4 与采购人或者其他供应商恶意串通的。</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27.4.5 采取不正当手段诋毁、排挤其他供应商的。</w:t>
      </w:r>
      <w:r/>
    </w:p>
    <w:p>
      <w:pPr>
        <w:ind w:firstLine="480"/>
        <w:spacing w:line="450" w:lineRule="exact"/>
        <w:rPr>
          <w:rFonts w:hint="eastAsia" w:ascii="宋体" w:hAnsi="宋体" w:cs="宋体"/>
          <w:color w:val="auto"/>
          <w:sz w:val="24"/>
          <w:highlight w:val="none"/>
        </w:rPr>
      </w:pPr>
      <w:r/>
      <w:bookmarkStart w:id="148" w:name="_Toc200451960"/>
      <w:r>
        <w:rPr>
          <w:rFonts w:hint="eastAsia" w:ascii="宋体" w:hAnsi="宋体" w:cs="宋体"/>
          <w:color w:val="auto"/>
          <w:sz w:val="24"/>
          <w:highlight w:val="none"/>
        </w:rPr>
        <w:t xml:space="preserve">27.5 有下列情形之一的，视为投标人串通投标，投标无效：</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27.5.1 不同投标人的投标文件由同一单位或者个人编制。</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27.5.2 不同投标人委托同一单位或者个人办理投标事宜。</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27.5.3 不同投标人的投标文件载明的项目管理成员或者联系人员为同一人。</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27.5.4 不同投标人的投标文件异常一致或者投标报价呈规律性差异。</w:t>
      </w:r>
      <w:r/>
    </w:p>
    <w:p>
      <w:pPr>
        <w:ind w:firstLine="600"/>
        <w:keepLines/>
        <w:keepNext/>
        <w:spacing w:line="450" w:lineRule="exact"/>
        <w:rPr>
          <w:rFonts w:hint="eastAsia" w:ascii="宋体" w:hAnsi="宋体" w:cs="宋体"/>
          <w:bCs/>
          <w:color w:val="auto"/>
          <w:sz w:val="30"/>
          <w:szCs w:val="30"/>
          <w:highlight w:val="none"/>
        </w:rPr>
        <w:outlineLvl w:val="3"/>
      </w:pPr>
      <w:r>
        <w:rPr>
          <w:rFonts w:hint="eastAsia" w:ascii="宋体" w:hAnsi="宋体" w:cs="宋体"/>
          <w:bCs/>
          <w:color w:val="auto"/>
          <w:sz w:val="30"/>
          <w:szCs w:val="30"/>
          <w:highlight w:val="none"/>
        </w:rPr>
        <w:t xml:space="preserve">28.质疑处理</w:t>
      </w:r>
      <w:bookmarkEnd w:id="148"/>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28.2.1 对可以质疑的采购文件提出质疑的，为收到采购文件之日或者采购文件公告期限届满之日；</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28.2.2 对采购过程提出质疑的，为各采购程序环节结束之日；</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28.2.3 对中标或者成交结果提出质疑的，为中标或者成交结果公告期限届满之日。</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28.4 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450" w:lineRule="exact"/>
        <w:rPr>
          <w:rFonts w:hint="eastAsia" w:ascii="宋体" w:hAnsi="宋体" w:cs="宋体"/>
          <w:b/>
          <w:color w:val="auto"/>
          <w:sz w:val="24"/>
          <w:szCs w:val="24"/>
          <w:highlight w:val="none"/>
        </w:rPr>
      </w:pPr>
      <w:r>
        <w:rPr>
          <w:rFonts w:hint="eastAsia" w:ascii="宋体" w:hAnsi="宋体" w:cs="宋体"/>
          <w:color w:val="auto"/>
          <w:sz w:val="24"/>
          <w:highlight w:val="none"/>
        </w:rPr>
        <w:t xml:space="preserve">采购人及采购代理机构只接收以纸质原件形式送达的质疑，供应商可以通过现场递交或邮寄方式提交质疑。</w:t>
      </w:r>
      <w:r/>
    </w:p>
    <w:p>
      <w:pPr>
        <w:ind w:firstLine="480"/>
        <w:spacing w:line="45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采购代理机构质疑接收部门为</w:t>
      </w:r>
      <w:r>
        <w:rPr>
          <w:rFonts w:hint="eastAsia" w:ascii="宋体" w:hAnsi="宋体" w:cs="宋体"/>
          <w:b/>
          <w:bCs/>
          <w:color w:val="auto"/>
          <w:sz w:val="24"/>
          <w:szCs w:val="24"/>
          <w:highlight w:val="none"/>
        </w:rPr>
        <w:t xml:space="preserve">江苏宝宏项目管理咨询有限公司</w:t>
      </w:r>
      <w:r>
        <w:rPr>
          <w:rFonts w:hint="eastAsia" w:ascii="宋体" w:hAnsi="宋体" w:cs="宋体"/>
          <w:b/>
          <w:bCs/>
          <w:color w:val="auto"/>
          <w:sz w:val="24"/>
          <w:highlight w:val="none"/>
        </w:rPr>
        <w:t xml:space="preserve">，联系人：王工 联系电话：</w:t>
      </w:r>
      <w:r>
        <w:rPr>
          <w:rFonts w:hint="eastAsia" w:ascii="宋体" w:hAnsi="宋体" w:eastAsia="宋体" w:cs="宋体"/>
          <w:b/>
          <w:bCs/>
          <w:color w:val="auto"/>
          <w:sz w:val="24"/>
          <w:highlight w:val="none"/>
          <w:lang w:val="en-US" w:eastAsia="zh-CN"/>
        </w:rPr>
        <w:t xml:space="preserve">15161352881</w:t>
      </w:r>
      <w:r>
        <w:rPr>
          <w:rFonts w:hint="eastAsia" w:ascii="宋体" w:hAnsi="宋体" w:cs="宋体"/>
          <w:color w:val="auto"/>
          <w:sz w:val="24"/>
          <w:highlight w:val="none"/>
        </w:rPr>
        <w:t xml:space="preserve">。</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采购人质疑接收人及联系方式见招标文件第一章。</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28.5 以下情形的质疑不予受理</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28.5.1 内容不符合《政府采购质疑和投诉办法》第十二条规定的质疑。</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28.5.2 超出政府采购法定期限的质疑。</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28.5.3 以传真、电子邮件等方式递交的非原件形式的质疑。</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28.5.4 未参加投标活动的供应商或在投标活动中自身权益未受到损害的供应商所提出的质疑。</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28.5.5 供应商组成联合体参加投标，联合体中任何一方或多方未按要求签字、盖章、加盖公章的质疑。</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450" w:lineRule="exact"/>
        <w:rPr>
          <w:rFonts w:hint="eastAsia" w:ascii="宋体" w:hAnsi="宋体" w:cs="宋体"/>
          <w:bCs/>
          <w:color w:val="auto"/>
          <w:sz w:val="30"/>
          <w:szCs w:val="30"/>
          <w:highlight w:val="none"/>
        </w:rPr>
        <w:outlineLvl w:val="3"/>
      </w:pPr>
      <w:r>
        <w:rPr>
          <w:rFonts w:hint="eastAsia" w:ascii="宋体" w:hAnsi="宋体" w:cs="宋体"/>
          <w:bCs/>
          <w:color w:val="auto"/>
          <w:sz w:val="30"/>
          <w:szCs w:val="30"/>
          <w:highlight w:val="none"/>
        </w:rPr>
        <w:t xml:space="preserve">29.中标通知书</w:t>
      </w:r>
      <w:r/>
    </w:p>
    <w:p>
      <w:pPr>
        <w:ind w:firstLine="60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中标结果确定后，采购代理机构将向中标人发出中标通知书。</w:t>
      </w:r>
      <w:r>
        <w:rPr>
          <w:rFonts w:hint="eastAsia" w:ascii="宋体" w:hAnsi="宋体" w:cs="宋体"/>
          <w:b/>
          <w:bCs/>
          <w:color w:val="auto"/>
          <w:sz w:val="24"/>
          <w:szCs w:val="24"/>
          <w:highlight w:val="none"/>
        </w:rPr>
        <w:t xml:space="preserve">中标供应商在领取中标通知书时，需提供五份（一份正本，四份副本）与电子投标文件一致的纸质打印投标文件，须封面、骑缝加盖公章。</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50" w:lineRule="exact"/>
        <w:rPr>
          <w:rFonts w:hint="eastAsia" w:ascii="宋体" w:hAnsi="宋体" w:cs="宋体"/>
          <w:b/>
          <w:bCs/>
          <w:color w:val="auto"/>
          <w:sz w:val="32"/>
          <w:szCs w:val="32"/>
          <w:highlight w:val="none"/>
        </w:rPr>
        <w:outlineLvl w:val="2"/>
      </w:pPr>
      <w:r/>
      <w:bookmarkStart w:id="149" w:name="_Toc12848"/>
      <w:r/>
      <w:bookmarkStart w:id="150" w:name="_Toc120614220"/>
      <w:r/>
      <w:bookmarkStart w:id="151" w:name="_Toc31566"/>
      <w:r/>
      <w:bookmarkStart w:id="152" w:name="_Toc513029236"/>
      <w:r/>
      <w:bookmarkStart w:id="153" w:name="_Toc20823308"/>
      <w:r/>
      <w:bookmarkStart w:id="154" w:name="_Toc16938552"/>
      <w:r>
        <w:rPr>
          <w:rFonts w:hint="eastAsia" w:ascii="宋体" w:hAnsi="宋体" w:cs="宋体"/>
          <w:b/>
          <w:bCs/>
          <w:color w:val="auto"/>
          <w:sz w:val="32"/>
          <w:szCs w:val="32"/>
          <w:highlight w:val="none"/>
        </w:rPr>
        <w:t xml:space="preserve">七、授予合同</w:t>
      </w:r>
      <w:bookmarkEnd w:id="149"/>
      <w:r/>
      <w:bookmarkEnd w:id="150"/>
      <w:r/>
      <w:bookmarkEnd w:id="151"/>
      <w:r/>
      <w:bookmarkEnd w:id="152"/>
      <w:r/>
      <w:bookmarkEnd w:id="153"/>
      <w:r/>
      <w:bookmarkEnd w:id="154"/>
      <w:r/>
      <w:r/>
    </w:p>
    <w:p>
      <w:pPr>
        <w:ind w:firstLine="600"/>
        <w:jc w:val="left"/>
        <w:spacing w:line="450" w:lineRule="exact"/>
        <w:widowControl/>
        <w:rPr>
          <w:rFonts w:hint="eastAsia" w:ascii="宋体" w:hAnsi="宋体" w:cs="宋体"/>
          <w:bCs/>
          <w:color w:val="auto"/>
          <w:sz w:val="30"/>
          <w:szCs w:val="30"/>
          <w:highlight w:val="none"/>
        </w:rPr>
      </w:pPr>
      <w:r/>
      <w:bookmarkStart w:id="155" w:name="_Toc20823309"/>
      <w:r/>
      <w:bookmarkStart w:id="156" w:name="_Toc16938553"/>
      <w:r/>
      <w:bookmarkStart w:id="157" w:name="_Toc513029237"/>
      <w:r>
        <w:rPr>
          <w:rFonts w:hint="eastAsia" w:ascii="宋体" w:hAnsi="宋体" w:cs="宋体"/>
          <w:bCs/>
          <w:color w:val="auto"/>
          <w:sz w:val="30"/>
          <w:szCs w:val="30"/>
          <w:highlight w:val="none"/>
        </w:rPr>
        <w:t xml:space="preserve">30. 签订合同</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30.l 中标人应当在中标通知书发出之日起三十日内，按照招标文件确定的事项与采购人签订政府采购合同。</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30.2 招标文件、中标人的投标文件及招标过程中有关澄清、承诺文件均应作为合同附件。</w:t>
      </w:r>
      <w:r/>
    </w:p>
    <w:p>
      <w:pPr>
        <w:ind w:firstLine="600"/>
        <w:spacing w:line="45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30.3 签订合同后，</w:t>
      </w:r>
      <w:r>
        <w:rPr>
          <w:rFonts w:hint="eastAsia" w:ascii="宋体" w:hAnsi="宋体" w:cs="宋体"/>
          <w:b/>
          <w:bCs/>
          <w:iCs/>
          <w:color w:val="auto"/>
          <w:sz w:val="24"/>
          <w:szCs w:val="24"/>
          <w:highlight w:val="none"/>
          <w:u w:val="single"/>
        </w:rPr>
        <w:t xml:space="preserve">中标人不得将合同标的进行转包</w:t>
      </w:r>
      <w:r>
        <w:rPr>
          <w:rFonts w:hint="eastAsia" w:ascii="宋体" w:hAnsi="宋体" w:cs="宋体"/>
          <w:color w:val="auto"/>
          <w:sz w:val="24"/>
          <w:szCs w:val="24"/>
          <w:highlight w:val="none"/>
        </w:rPr>
        <w:t xml:space="preserve">。未经采购人同意，中标人</w:t>
      </w:r>
      <w:r>
        <w:rPr>
          <w:rFonts w:hint="eastAsia" w:ascii="宋体" w:hAnsi="宋体" w:cs="宋体"/>
          <w:color w:val="auto"/>
          <w:sz w:val="24"/>
          <w:highlight w:val="none"/>
        </w:rPr>
        <w:t xml:space="preserve">也不得采用分包的形式履行合同，否则采购人有权终止合同。转包或分包造成采购人损失的，中标人应承担相应赔偿责任。</w:t>
      </w:r>
      <w:r/>
    </w:p>
    <w:p>
      <w:pPr>
        <w:ind w:firstLine="600"/>
        <w:jc w:val="left"/>
        <w:spacing w:line="450" w:lineRule="exact"/>
        <w:widowControl/>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31.服务（包含与服务相关的货物）的追加</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31.1 政府采购合同履行中，采购人需追加与合同标的相同的服务（包含与服务相关的货物），在不改变合同其他条款的前提下，可以与中标人协商签订补充合同，但所有补充合同的采购金额不超过原合同金额的10%。</w:t>
      </w:r>
      <w:bookmarkEnd w:id="155"/>
      <w:r/>
      <w:bookmarkEnd w:id="156"/>
      <w:r/>
      <w:bookmarkEnd w:id="157"/>
      <w:r/>
      <w:r/>
    </w:p>
    <w:p>
      <w:pPr>
        <w:ind w:firstLine="600"/>
        <w:jc w:val="left"/>
        <w:spacing w:line="450" w:lineRule="exact"/>
        <w:widowControl/>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32.政府采购履约资金扶持政策</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中标人可凭政府采购合同办理融资贷款，详情请见江苏政府采购网“政采贷”专栏。</w:t>
      </w:r>
      <w:r/>
    </w:p>
    <w:p>
      <w:pPr>
        <w:keepLines/>
        <w:keepNext/>
        <w:spacing w:line="450" w:lineRule="exact"/>
        <w:rPr>
          <w:rFonts w:hint="eastAsia" w:ascii="宋体" w:hAnsi="宋体" w:cs="宋体"/>
          <w:b/>
          <w:bCs/>
          <w:color w:val="auto"/>
          <w:sz w:val="32"/>
          <w:szCs w:val="32"/>
          <w:highlight w:val="none"/>
        </w:rPr>
        <w:outlineLvl w:val="2"/>
      </w:pPr>
      <w:r/>
      <w:bookmarkStart w:id="158" w:name="_Toc19843"/>
      <w:r/>
      <w:bookmarkStart w:id="159" w:name="_Toc23014"/>
      <w:r/>
      <w:bookmarkStart w:id="160" w:name="_Toc27845"/>
      <w:r>
        <w:rPr>
          <w:rFonts w:hint="eastAsia" w:ascii="宋体" w:hAnsi="宋体" w:cs="宋体"/>
          <w:b/>
          <w:bCs/>
          <w:color w:val="auto"/>
          <w:sz w:val="32"/>
          <w:szCs w:val="32"/>
          <w:highlight w:val="none"/>
        </w:rPr>
        <w:t xml:space="preserve">八、政策功能</w:t>
      </w:r>
      <w:bookmarkEnd w:id="158"/>
      <w:r/>
      <w:bookmarkEnd w:id="159"/>
      <w:r/>
      <w:bookmarkEnd w:id="160"/>
      <w:r/>
      <w:r/>
    </w:p>
    <w:p>
      <w:pPr>
        <w:ind w:firstLine="600"/>
        <w:jc w:val="left"/>
        <w:spacing w:line="450" w:lineRule="exact"/>
        <w:widowControl/>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33. 政策功能</w:t>
      </w:r>
      <w:r/>
    </w:p>
    <w:p>
      <w:pPr>
        <w:ind w:firstLine="723"/>
        <w:jc w:val="left"/>
        <w:spacing w:line="45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33.1 本项目面向中小企业采购</w:t>
      </w:r>
      <w:r>
        <w:rPr>
          <w:rFonts w:hint="eastAsia" w:ascii="宋体" w:hAnsi="宋体" w:cs="宋体"/>
          <w:color w:val="auto"/>
          <w:sz w:val="24"/>
          <w:highlight w:val="none"/>
        </w:rPr>
        <w:t xml:space="preserve">：</w:t>
      </w:r>
      <w:r/>
    </w:p>
    <w:p>
      <w:pPr>
        <w:ind w:firstLine="480"/>
        <w:jc w:val="left"/>
        <w:spacing w:line="45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45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2.根据财政部、工业和信息化部关于印发《政府采购促进中小企业发展管理办法》的通知（财库〔2020〕46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2"/>
        <w:jc w:val="left"/>
        <w:spacing w:line="45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中小企业参加政府采购活动，应当出具本办法规定的《中小企业声明函》，否则作无效标处理</w:t>
      </w:r>
      <w:r>
        <w:rPr>
          <w:rFonts w:hint="eastAsia" w:ascii="宋体" w:hAnsi="宋体" w:cs="宋体"/>
          <w:color w:val="auto"/>
          <w:sz w:val="24"/>
          <w:highlight w:val="none"/>
        </w:rPr>
        <w:t xml:space="preserve">。</w:t>
      </w:r>
      <w:r/>
    </w:p>
    <w:p>
      <w:pPr>
        <w:ind w:firstLine="480"/>
        <w:jc w:val="left"/>
        <w:spacing w:line="45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3.投标人为残疾人福利性单位且提供的货物全部由残疾人福利性单位制造的，符合财库〔2017〕141 号文件规定条件的残疾人福利性单位视同小型、微型企业，提供《残疾人福利性单位声明函》。</w:t>
      </w:r>
      <w:r/>
    </w:p>
    <w:p>
      <w:pPr>
        <w:ind w:firstLine="480"/>
        <w:jc w:val="left"/>
        <w:spacing w:line="45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4.投标人为监狱企业或提供的货</w:t>
      </w:r>
      <w:r>
        <w:rPr>
          <w:rFonts w:hint="eastAsia" w:ascii="宋体" w:hAnsi="宋体" w:cs="宋体"/>
          <w:color w:val="auto"/>
          <w:sz w:val="24"/>
          <w:highlight w:val="none"/>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监狱企业参加政府采购活动时，提供由省级以上监狱管理局、戒毒管理局（含新疆生产建设兵团）出具的属于监狱企业的证明文件。投标人按照本办法规定提供声明函内容不实的，属于提供虚假材料谋取中标依照《中华人民共和国政府采购法》等国家有关规定追究相应责任。</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5.在政府采购活动中，投标人提供的货物、工程或者服务符合下列情形的，享受本办法规定的中小企业扶持政策：</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（一）在货物采购项目中，货物由中小企业制造，即货物由中小企业生产且使用该中小企业商号或者注册商标；</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（二）在工程采购项目中，工程由中小企业承建，即工程施工单位为中小企业；</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以上规定未尽事项，按《政府采购促进中小企业发展管理办法》等有关制度规定执行。</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6.《中小企业声明函》等相关资料应上传至电子投标文件中，否则不予认可。</w:t>
      </w:r>
      <w:r/>
    </w:p>
    <w:p>
      <w:pPr>
        <w:ind w:firstLine="482"/>
        <w:spacing w:line="45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33.2 支持绿色发展</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45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857"/>
        <w:ind w:firstLine="420"/>
        <w:spacing w:before="0" w:beforeAutospacing="0" w:after="0" w:afterAutospacing="0" w:line="450" w:lineRule="exact"/>
        <w:rPr>
          <w:rFonts w:hint="eastAsia"/>
          <w:b/>
          <w:bCs/>
          <w:color w:val="auto"/>
          <w:highlight w:val="none"/>
        </w:rPr>
      </w:pPr>
      <w:r>
        <w:rPr>
          <w:rFonts w:hint="eastAsia"/>
          <w:b/>
          <w:bCs/>
          <w:color w:val="auto"/>
          <w:highlight w:val="none"/>
        </w:rPr>
        <w:t xml:space="preserve">33.3、支持采购本国产品的政策</w:t>
      </w:r>
      <w:r/>
    </w:p>
    <w:p>
      <w:pPr>
        <w:pStyle w:val="1064"/>
        <w:ind w:firstLine="480"/>
        <w:spacing w:line="45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857"/>
        <w:ind w:firstLine="420"/>
        <w:spacing w:before="0" w:beforeAutospacing="0" w:after="0" w:afterAutospacing="0" w:line="45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ind w:firstLine="420"/>
        <w:spacing w:before="0" w:beforeAutospacing="0" w:after="0" w:afterAutospacing="0" w:line="450" w:lineRule="exact"/>
        <w:rPr>
          <w:rFonts w:hint="eastAsia"/>
          <w:color w:val="auto"/>
          <w:highlight w:val="none"/>
        </w:rPr>
      </w:pPr>
      <w:r>
        <w:rPr>
          <w:rFonts w:hint="eastAsia" w:ascii="Times New Roman" w:hAnsi="Times New Roman" w:cs="Times New Roman"/>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bookmarkEnd w:id="5"/>
      <w:r/>
      <w:r/>
    </w:p>
    <w:p>
      <w:pPr>
        <w:jc w:val="left"/>
        <w:widowControl/>
        <w:rPr>
          <w:color w:val="auto"/>
          <w:sz w:val="24"/>
          <w:szCs w:val="24"/>
          <w:highlight w:val="none"/>
        </w:rPr>
      </w:pPr>
      <w:r>
        <w:rPr>
          <w:color w:val="auto"/>
          <w:sz w:val="24"/>
          <w:szCs w:val="24"/>
          <w:highlight w:val="none"/>
        </w:rPr>
      </w:r>
      <w:r/>
    </w:p>
    <w:p>
      <w:pPr>
        <w:pStyle w:val="1012"/>
        <w:jc w:val="center"/>
        <w:spacing w:before="0" w:after="0" w:line="240" w:lineRule="auto"/>
        <w:rPr>
          <w:rFonts w:hint="eastAsia" w:ascii="黑体" w:hAnsi="黑体" w:eastAsia="黑体"/>
          <w:b w:val="0"/>
          <w:color w:val="auto"/>
          <w:highlight w:val="none"/>
        </w:rPr>
      </w:pPr>
      <w:r/>
      <w:bookmarkStart w:id="161" w:name="_Toc155796358"/>
      <w:r>
        <w:rPr>
          <w:rFonts w:hint="eastAsia" w:ascii="黑体" w:hAnsi="黑体" w:eastAsia="黑体"/>
          <w:b w:val="0"/>
          <w:color w:val="auto"/>
          <w:highlight w:val="none"/>
        </w:rPr>
        <w:br w:type="page" w:clear="all"/>
      </w:r>
      <w:r>
        <w:rPr>
          <w:rFonts w:hint="eastAsia" w:ascii="黑体" w:hAnsi="黑体" w:eastAsia="黑体"/>
          <w:b w:val="0"/>
          <w:color w:val="auto"/>
          <w:highlight w:val="none"/>
        </w:rPr>
        <w:t xml:space="preserve">第三章  合同文本</w:t>
      </w:r>
      <w:bookmarkEnd w:id="161"/>
      <w:r/>
      <w:r/>
    </w:p>
    <w:p>
      <w:pPr>
        <w:pStyle w:val="857"/>
        <w:jc w:val="both"/>
        <w:spacing w:before="0" w:beforeAutospacing="0" w:after="0" w:afterAutospacing="0" w:line="436" w:lineRule="exact"/>
        <w:widowControl w:val="off"/>
        <w:rPr>
          <w:rFonts w:hint="eastAsia"/>
          <w:color w:val="auto"/>
          <w:highlight w:val="none"/>
        </w:rPr>
      </w:pPr>
      <w:r/>
      <w:bookmarkStart w:id="162" w:name="_Toc20823315"/>
      <w:r/>
      <w:bookmarkStart w:id="163" w:name="_Toc16938559"/>
      <w:r/>
      <w:bookmarkStart w:id="164" w:name="_Toc513029243"/>
      <w:r/>
      <w:bookmarkStart w:id="165" w:name="_Toc27955"/>
      <w:r/>
      <w:bookmarkStart w:id="166" w:name="_Toc465856614"/>
      <w:r/>
      <w:bookmarkStart w:id="167" w:name="_Toc3379"/>
      <w:r/>
      <w:bookmarkStart w:id="168" w:name="_Toc12693"/>
      <w:r>
        <w:rPr>
          <w:rFonts w:hint="eastAsia"/>
          <w:color w:val="auto"/>
          <w:szCs w:val="24"/>
          <w:highlight w:val="none"/>
        </w:rPr>
        <w:t xml:space="preserve">以下为成交后签定本项目合同的通用条款，成交供应商不得提出实质性的修改。</w:t>
      </w:r>
      <w:bookmarkEnd w:id="162"/>
      <w:r/>
      <w:bookmarkEnd w:id="163"/>
      <w:r/>
      <w:bookmarkEnd w:id="164"/>
      <w:r>
        <w:rPr>
          <w:color w:val="auto"/>
          <w:highlight w:val="none"/>
        </w:rPr>
        <w:t xml:space="preserve"> </w:t>
      </w:r>
      <w:r/>
    </w:p>
    <w:p>
      <w:pPr>
        <w:pStyle w:val="857"/>
        <w:jc w:val="center"/>
        <w:spacing w:before="0" w:beforeAutospacing="0" w:after="0" w:afterAutospacing="0" w:line="436" w:lineRule="exact"/>
        <w:widowControl w:val="off"/>
        <w:rPr>
          <w:rFonts w:hint="eastAsia"/>
          <w:color w:val="auto"/>
          <w:szCs w:val="24"/>
          <w:highlight w:val="none"/>
        </w:rPr>
      </w:pPr>
      <w:r>
        <w:rPr>
          <w:rFonts w:hint="eastAsia"/>
          <w:b/>
          <w:bCs/>
          <w:color w:val="auto"/>
          <w:sz w:val="30"/>
          <w:szCs w:val="30"/>
          <w:highlight w:val="none"/>
        </w:rPr>
        <w:t xml:space="preserve">赣榆区政府采购合同（合同编号）</w:t>
      </w:r>
      <w:r/>
    </w:p>
    <w:p>
      <w:pPr>
        <w:pStyle w:val="857"/>
        <w:jc w:val="both"/>
        <w:spacing w:before="120" w:beforeAutospacing="0" w:after="120" w:afterAutospacing="0" w:line="436" w:lineRule="exact"/>
        <w:widowControl w:val="off"/>
        <w:rPr>
          <w:rFonts w:hint="eastAsia"/>
          <w:color w:val="auto"/>
          <w:szCs w:val="24"/>
          <w:highlight w:val="none"/>
        </w:rPr>
      </w:pPr>
      <w:r>
        <w:rPr>
          <w:rFonts w:hint="eastAsia"/>
          <w:color w:val="auto"/>
          <w:szCs w:val="24"/>
          <w:highlight w:val="none"/>
        </w:rPr>
        <w:t xml:space="preserve">项目名称：</w:t>
      </w:r>
      <w:r/>
    </w:p>
    <w:p>
      <w:pPr>
        <w:pStyle w:val="857"/>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项目编号：</w:t>
      </w:r>
      <w:r/>
    </w:p>
    <w:p>
      <w:pPr>
        <w:pStyle w:val="857"/>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甲方：（买方）_________</w:t>
      </w:r>
      <w:r/>
    </w:p>
    <w:p>
      <w:pPr>
        <w:pStyle w:val="857"/>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乙方：（卖方）_________</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   </w:t>
      </w:r>
      <w:r>
        <w:rPr>
          <w:rFonts w:hint="eastAsia"/>
          <w:color w:val="auto"/>
          <w:szCs w:val="24"/>
          <w:highlight w:val="none"/>
        </w:rPr>
        <w:t xml:space="preserve">甲、乙双方根据连云港市赣榆区自然资源和规划局</w:t>
      </w:r>
      <w:r>
        <w:rPr>
          <w:rFonts w:hint="eastAsia"/>
          <w:color w:val="auto"/>
          <w:szCs w:val="24"/>
          <w:highlight w:val="none"/>
          <w:u w:val="single"/>
        </w:rPr>
        <w:t xml:space="preserve">         </w:t>
      </w:r>
      <w:r>
        <w:rPr>
          <w:rFonts w:hint="eastAsia"/>
          <w:color w:val="auto"/>
          <w:szCs w:val="24"/>
          <w:highlight w:val="none"/>
        </w:rPr>
        <w:t xml:space="preserve">项目公开招标的结果，签署本合同。</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一、合同内容</w:t>
      </w:r>
      <w:r/>
    </w:p>
    <w:p>
      <w:pPr>
        <w:pStyle w:val="857"/>
        <w:jc w:val="both"/>
        <w:spacing w:before="120" w:beforeAutospacing="0" w:after="120" w:afterAutospacing="0" w:line="436" w:lineRule="exact"/>
        <w:widowControl w:val="off"/>
        <w:rPr>
          <w:rFonts w:hint="eastAsia"/>
          <w:color w:val="auto"/>
          <w:highlight w:val="none"/>
          <w:u w:val="single"/>
        </w:rPr>
      </w:pPr>
      <w:r>
        <w:rPr>
          <w:rFonts w:hint="eastAsia"/>
          <w:color w:val="auto"/>
          <w:szCs w:val="24"/>
          <w:highlight w:val="none"/>
        </w:rPr>
        <w:t xml:space="preserve">1.1 标的名称：</w:t>
      </w:r>
      <w:r>
        <w:rPr>
          <w:rFonts w:hint="eastAsia"/>
          <w:color w:val="auto"/>
          <w:szCs w:val="24"/>
          <w:highlight w:val="none"/>
          <w:u w:val="single"/>
        </w:rPr>
        <w:t xml:space="preserve">       </w:t>
      </w:r>
      <w:r/>
    </w:p>
    <w:p>
      <w:pPr>
        <w:pStyle w:val="857"/>
        <w:jc w:val="both"/>
        <w:spacing w:before="120" w:beforeAutospacing="0" w:after="120" w:afterAutospacing="0" w:line="436" w:lineRule="exact"/>
        <w:widowControl w:val="off"/>
        <w:rPr>
          <w:rFonts w:hint="eastAsia"/>
          <w:color w:val="auto"/>
          <w:highlight w:val="none"/>
          <w:u w:val="single"/>
        </w:rPr>
      </w:pPr>
      <w:r>
        <w:rPr>
          <w:rFonts w:hint="eastAsia"/>
          <w:color w:val="auto"/>
          <w:szCs w:val="24"/>
          <w:highlight w:val="none"/>
        </w:rPr>
        <w:t xml:space="preserve">1.3 服务内容：</w:t>
      </w:r>
      <w:r>
        <w:rPr>
          <w:rFonts w:hint="eastAsia"/>
          <w:color w:val="auto"/>
          <w:szCs w:val="24"/>
          <w:highlight w:val="none"/>
          <w:u w:val="single"/>
        </w:rPr>
        <w:t xml:space="preserve">       </w:t>
      </w:r>
      <w:r/>
    </w:p>
    <w:p>
      <w:pPr>
        <w:ind w:firstLine="480"/>
        <w:spacing w:line="436" w:lineRule="exact"/>
        <w:rPr>
          <w:rFonts w:hint="eastAsia" w:ascii="宋体" w:hAnsi="宋体" w:cs="宋体"/>
          <w:color w:val="auto"/>
          <w:sz w:val="24"/>
          <w:szCs w:val="28"/>
          <w:highlight w:val="none"/>
          <w:u w:val="single"/>
        </w:rPr>
      </w:pPr>
      <w:r>
        <w:rPr>
          <w:rFonts w:hint="eastAsia" w:ascii="宋体" w:hAnsi="宋体" w:cs="宋体"/>
          <w:color w:val="auto"/>
          <w:sz w:val="24"/>
          <w:szCs w:val="24"/>
          <w:highlight w:val="none"/>
        </w:rPr>
        <w:t xml:space="preserve">1.4 履行时间（期限）：</w:t>
      </w:r>
      <w:r>
        <w:rPr>
          <w:rFonts w:hint="eastAsia" w:cs="宋体"/>
          <w:color w:val="auto"/>
          <w:sz w:val="24"/>
          <w:szCs w:val="24"/>
          <w:highlight w:val="none"/>
          <w:u w:val="single"/>
        </w:rPr>
        <w:t xml:space="preserve"> </w:t>
      </w:r>
      <w:r>
        <w:rPr>
          <w:rFonts w:hint="eastAsia"/>
          <w:color w:val="auto"/>
          <w:sz w:val="24"/>
          <w:szCs w:val="24"/>
          <w:highlight w:val="none"/>
          <w:u w:val="single"/>
        </w:rPr>
        <w:t xml:space="preserve">按照采购人及上级主管部门要求</w:t>
      </w:r>
      <w:r>
        <w:rPr>
          <w:rFonts w:hint="eastAsia" w:ascii="宋体" w:hAnsi="宋体" w:cs="宋体"/>
          <w:color w:val="auto"/>
          <w:sz w:val="24"/>
          <w:szCs w:val="28"/>
          <w:highlight w:val="none"/>
          <w:u w:val="single"/>
        </w:rPr>
        <w:t xml:space="preserve">，具体时间以实际服务天数为准。</w:t>
      </w:r>
      <w:r/>
    </w:p>
    <w:p>
      <w:pPr>
        <w:pStyle w:val="857"/>
        <w:jc w:val="both"/>
        <w:spacing w:before="120" w:beforeAutospacing="0" w:after="120" w:afterAutospacing="0" w:line="436" w:lineRule="exact"/>
        <w:widowControl w:val="off"/>
        <w:rPr>
          <w:rFonts w:hint="eastAsia"/>
          <w:color w:val="auto"/>
          <w:highlight w:val="none"/>
          <w:u w:val="single"/>
        </w:rPr>
      </w:pPr>
      <w:r>
        <w:rPr>
          <w:rFonts w:hint="eastAsia"/>
          <w:color w:val="auto"/>
          <w:szCs w:val="24"/>
          <w:highlight w:val="none"/>
        </w:rPr>
        <w:t xml:space="preserve">1.5 履行地点：</w:t>
      </w:r>
      <w:r>
        <w:rPr>
          <w:rFonts w:hint="eastAsia"/>
          <w:color w:val="auto"/>
          <w:szCs w:val="24"/>
          <w:highlight w:val="none"/>
          <w:u w:val="single"/>
        </w:rPr>
        <w:t xml:space="preserve">      </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二、合同金额</w:t>
      </w:r>
      <w:r/>
    </w:p>
    <w:p>
      <w:pPr>
        <w:pStyle w:val="857"/>
        <w:ind w:left="410" w:hanging="410"/>
        <w:jc w:val="both"/>
        <w:spacing w:before="120" w:beforeAutospacing="0" w:after="120" w:afterAutospacing="0" w:line="436" w:lineRule="exact"/>
        <w:widowControl w:val="off"/>
        <w:rPr>
          <w:rFonts w:hint="eastAsia"/>
          <w:color w:val="auto"/>
          <w:szCs w:val="24"/>
          <w:highlight w:val="none"/>
        </w:rPr>
      </w:pPr>
      <w:r>
        <w:rPr>
          <w:rFonts w:hint="eastAsia"/>
          <w:color w:val="auto"/>
          <w:szCs w:val="24"/>
          <w:highlight w:val="none"/>
        </w:rPr>
        <w:t xml:space="preserve">2.1 本合同含税总金额为（大写）：____________元（__________元）人民币。</w:t>
      </w:r>
      <w:r/>
    </w:p>
    <w:p>
      <w:pPr>
        <w:ind w:firstLine="480"/>
        <w:spacing w:line="436" w:lineRule="exact"/>
        <w:rPr>
          <w:rFonts w:hint="eastAsia" w:ascii="宋体" w:hAnsi="宋体" w:cs="宋体"/>
          <w:b/>
          <w:bCs/>
          <w:color w:val="auto"/>
          <w:sz w:val="24"/>
          <w:highlight w:val="none"/>
          <w:u w:val="none"/>
          <w:lang w:val="en-US" w:eastAsia="zh-CN"/>
        </w:rPr>
      </w:pPr>
      <w:r>
        <w:rPr>
          <w:rFonts w:hint="eastAsia"/>
          <w:color w:val="auto"/>
          <w:sz w:val="24"/>
          <w:szCs w:val="24"/>
          <w:highlight w:val="none"/>
        </w:rPr>
        <w:t xml:space="preserve">浒苔大型驳船</w:t>
      </w:r>
      <w:r>
        <w:rPr>
          <w:rFonts w:hint="eastAsia"/>
          <w:color w:val="auto"/>
          <w:sz w:val="24"/>
          <w:szCs w:val="24"/>
          <w:highlight w:val="none"/>
          <w:lang w:val="en-US" w:eastAsia="zh-CN"/>
        </w:rPr>
        <w:t xml:space="preserve">转运</w:t>
      </w:r>
      <w:r>
        <w:rPr>
          <w:rFonts w:hint="eastAsia"/>
          <w:color w:val="auto"/>
          <w:sz w:val="24"/>
          <w:szCs w:val="24"/>
          <w:highlight w:val="none"/>
        </w:rPr>
        <w:t xml:space="preserve">租赁费</w:t>
      </w:r>
      <w:r>
        <w:rPr>
          <w:rFonts w:hint="eastAsia" w:cs="宋体"/>
          <w:color w:val="auto"/>
          <w:sz w:val="24"/>
          <w:szCs w:val="24"/>
          <w:highlight w:val="none"/>
        </w:rPr>
        <w:t xml:space="preserve">单价为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元/天，</w:t>
      </w:r>
      <w:r>
        <w:rPr>
          <w:rFonts w:hint="eastAsia" w:ascii="宋体" w:hAnsi="宋体" w:cs="宋体"/>
          <w:b/>
          <w:bCs/>
          <w:color w:val="auto"/>
          <w:sz w:val="24"/>
          <w:highlight w:val="none"/>
          <w:u w:val="none"/>
          <w:lang w:val="en-US" w:eastAsia="zh-CN"/>
        </w:rPr>
        <w:t xml:space="preserve">自动化打捞奖补费参照上级主管部门标准视具体情况执行，最终按实结算。</w:t>
      </w:r>
      <w:r/>
    </w:p>
    <w:p>
      <w:pPr>
        <w:ind w:firstLine="480"/>
        <w:spacing w:line="436" w:lineRule="exact"/>
        <w:rPr>
          <w:rFonts w:hint="eastAsia" w:ascii="宋体" w:hAnsi="宋体" w:cs="宋体"/>
          <w:color w:val="auto"/>
          <w:sz w:val="24"/>
          <w:highlight w:val="none"/>
        </w:rPr>
      </w:pPr>
      <w:r>
        <w:rPr>
          <w:rFonts w:hint="eastAsia" w:ascii="宋体" w:hAnsi="宋体" w:cs="宋体"/>
          <w:color w:val="auto"/>
          <w:sz w:val="24"/>
          <w:highlight w:val="none"/>
        </w:rPr>
        <w:t xml:space="preserve">结算以实际服务期限</w:t>
      </w:r>
      <w:r>
        <w:rPr>
          <w:rFonts w:hint="eastAsia" w:ascii="宋体" w:hAnsi="宋体" w:cs="宋体"/>
          <w:color w:val="auto"/>
          <w:sz w:val="24"/>
          <w:highlight w:val="none"/>
          <w:lang w:val="en-US" w:eastAsia="zh-CN"/>
        </w:rPr>
        <w:t xml:space="preserve">和打捞量</w:t>
      </w:r>
      <w:r>
        <w:rPr>
          <w:rFonts w:hint="eastAsia" w:ascii="宋体" w:hAnsi="宋体" w:cs="宋体"/>
          <w:color w:val="auto"/>
          <w:sz w:val="24"/>
          <w:highlight w:val="none"/>
        </w:rPr>
        <w:t xml:space="preserve">为准（以甲方确认时间为准），项目服务期限起算时间以驳船到达甲方指定海域并开展工作日期的当日起算；项目服务期限终止时</w:t>
      </w:r>
      <w:r>
        <w:rPr>
          <w:rFonts w:hint="eastAsia" w:ascii="宋体" w:hAnsi="宋体" w:cs="宋体"/>
          <w:color w:val="auto"/>
          <w:spacing w:val="-6"/>
          <w:sz w:val="24"/>
          <w:highlight w:val="none"/>
        </w:rPr>
        <w:t xml:space="preserve">间以驳船完成最后一航次浒苔处置任务，</w:t>
      </w:r>
      <w:r>
        <w:rPr>
          <w:rFonts w:hint="eastAsia" w:ascii="宋体" w:hAnsi="宋体" w:cs="宋体"/>
          <w:color w:val="auto"/>
          <w:spacing w:val="-6"/>
          <w:sz w:val="24"/>
          <w:highlight w:val="none"/>
          <w:lang w:val="en-US" w:eastAsia="zh-CN"/>
        </w:rPr>
        <w:t xml:space="preserve">上级部门发布停止打捞通知</w:t>
      </w:r>
      <w:r>
        <w:rPr>
          <w:rFonts w:hint="eastAsia" w:ascii="宋体" w:hAnsi="宋体" w:cs="宋体"/>
          <w:color w:val="auto"/>
          <w:spacing w:val="-6"/>
          <w:sz w:val="24"/>
          <w:highlight w:val="none"/>
        </w:rPr>
        <w:t xml:space="preserve">所载日期为准。</w:t>
      </w:r>
      <w:r/>
    </w:p>
    <w:p>
      <w:pPr>
        <w:ind w:firstLine="480"/>
        <w:spacing w:line="436" w:lineRule="exact"/>
        <w:rPr>
          <w:rFonts w:hint="eastAsia" w:ascii="宋体" w:hAnsi="宋体" w:cs="宋体"/>
          <w:color w:val="auto"/>
          <w:sz w:val="24"/>
          <w:szCs w:val="24"/>
          <w:highlight w:val="none"/>
        </w:rPr>
      </w:pPr>
      <w:r>
        <w:rPr>
          <w:rFonts w:hint="eastAsia" w:ascii="宋体" w:hAnsi="宋体"/>
          <w:color w:val="auto"/>
          <w:sz w:val="24"/>
          <w:highlight w:val="none"/>
        </w:rPr>
        <w:t xml:space="preserve">最终结算金额不超过预算金额的按实际金额支付，超过预算金额的按预算金额支付。</w:t>
      </w:r>
      <w:r/>
    </w:p>
    <w:p>
      <w:pPr>
        <w:jc w:val="left"/>
        <w:spacing w:line="436"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2.2 </w:t>
      </w:r>
      <w:r>
        <w:rPr>
          <w:rFonts w:ascii="宋体"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三、技术资料</w:t>
      </w:r>
      <w:r/>
    </w:p>
    <w:p>
      <w:pPr>
        <w:pStyle w:val="857"/>
        <w:ind w:left="410" w:hanging="410"/>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3.1乙方应按招标文件规定的时间向甲方提供与合同标的有关的技术资料。</w:t>
      </w:r>
      <w:r/>
    </w:p>
    <w:p>
      <w:pPr>
        <w:pStyle w:val="857"/>
        <w:jc w:val="both"/>
        <w:spacing w:before="0" w:beforeAutospacing="0" w:after="0" w:afterAutospacing="0" w:line="436" w:lineRule="exact"/>
        <w:widowControl w:val="off"/>
        <w:rPr>
          <w:rFonts w:hint="eastAsia"/>
          <w:color w:val="auto"/>
          <w:highlight w:val="none"/>
        </w:rPr>
      </w:pPr>
      <w:r>
        <w:rPr>
          <w:rFonts w:hint="eastAsia"/>
          <w:color w:val="auto"/>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7"/>
        <w:ind w:left="412" w:hanging="412"/>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四、知识产权</w:t>
      </w:r>
      <w:r/>
    </w:p>
    <w:p>
      <w:pPr>
        <w:pStyle w:val="857"/>
        <w:jc w:val="both"/>
        <w:spacing w:before="0" w:beforeAutospacing="0" w:after="0" w:afterAutospacing="0" w:line="436" w:lineRule="exact"/>
        <w:widowControl w:val="off"/>
        <w:rPr>
          <w:rFonts w:hint="eastAsia"/>
          <w:color w:val="auto"/>
          <w:szCs w:val="24"/>
          <w:highlight w:val="none"/>
        </w:rPr>
      </w:pPr>
      <w:r>
        <w:rPr>
          <w:rFonts w:hint="eastAsia"/>
          <w:color w:val="auto"/>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五、产权担保</w:t>
      </w:r>
      <w:r/>
    </w:p>
    <w:p>
      <w:pPr>
        <w:pStyle w:val="857"/>
        <w:ind w:left="408" w:hanging="408"/>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5.1 乙方保证所交付的合同标的的所有权完全属于乙方且无任何抵押、查封等产权瑕疵。</w:t>
      </w:r>
      <w:r/>
    </w:p>
    <w:p>
      <w:pPr>
        <w:pStyle w:val="857"/>
        <w:ind w:left="410" w:hanging="410"/>
        <w:jc w:val="both"/>
        <w:spacing w:before="120" w:beforeAutospacing="0" w:after="120" w:afterAutospacing="0" w:line="436" w:lineRule="exact"/>
        <w:widowControl w:val="off"/>
        <w:rPr>
          <w:rFonts w:hint="eastAsia"/>
          <w:b/>
          <w:bCs/>
          <w:color w:val="auto"/>
          <w:szCs w:val="24"/>
          <w:highlight w:val="none"/>
        </w:rPr>
      </w:pPr>
      <w:r>
        <w:rPr>
          <w:rFonts w:hint="eastAsia"/>
          <w:b/>
          <w:bCs/>
          <w:color w:val="auto"/>
          <w:szCs w:val="24"/>
          <w:highlight w:val="none"/>
        </w:rPr>
        <w:t xml:space="preserve">六、履约保证金：本项目不收取履约保证金</w:t>
      </w:r>
      <w:r/>
    </w:p>
    <w:p>
      <w:pPr>
        <w:pStyle w:val="857"/>
        <w:jc w:val="both"/>
        <w:spacing w:before="145" w:beforeAutospacing="0" w:after="145" w:afterAutospacing="0" w:line="436" w:lineRule="exact"/>
        <w:widowControl w:val="off"/>
        <w:rPr>
          <w:rFonts w:hint="eastAsia"/>
          <w:color w:val="auto"/>
          <w:highlight w:val="none"/>
        </w:rPr>
      </w:pPr>
      <w:r>
        <w:rPr>
          <w:rFonts w:hint="eastAsia"/>
          <w:b/>
          <w:bCs/>
          <w:color w:val="auto"/>
          <w:szCs w:val="24"/>
          <w:highlight w:val="none"/>
        </w:rPr>
        <w:t xml:space="preserve">七、合同转包或分包</w:t>
      </w:r>
      <w:r/>
    </w:p>
    <w:p>
      <w:pPr>
        <w:pStyle w:val="857"/>
        <w:jc w:val="both"/>
        <w:spacing w:before="145" w:beforeAutospacing="0" w:after="145" w:afterAutospacing="0" w:line="436" w:lineRule="exact"/>
        <w:widowControl w:val="off"/>
        <w:rPr>
          <w:rFonts w:hint="eastAsia"/>
          <w:color w:val="auto"/>
          <w:highlight w:val="none"/>
        </w:rPr>
      </w:pPr>
      <w:r>
        <w:rPr>
          <w:rFonts w:hint="eastAsia"/>
          <w:color w:val="auto"/>
          <w:szCs w:val="24"/>
          <w:highlight w:val="none"/>
        </w:rPr>
        <w:t xml:space="preserve">7.1乙方不得将合同标的转包给他人履行。</w:t>
      </w:r>
      <w:r/>
    </w:p>
    <w:p>
      <w:pPr>
        <w:pStyle w:val="857"/>
        <w:jc w:val="both"/>
        <w:spacing w:before="145" w:beforeAutospacing="0" w:after="145" w:afterAutospacing="0" w:line="436" w:lineRule="exact"/>
        <w:widowControl w:val="off"/>
        <w:rPr>
          <w:rFonts w:hint="eastAsia"/>
          <w:color w:val="auto"/>
          <w:highlight w:val="none"/>
        </w:rPr>
      </w:pPr>
      <w:r>
        <w:rPr>
          <w:rFonts w:hint="eastAsia"/>
          <w:color w:val="auto"/>
          <w:szCs w:val="24"/>
          <w:highlight w:val="none"/>
        </w:rPr>
        <w:t xml:space="preserve">7.2乙方不得将合同标的分包给他人履行。</w:t>
      </w:r>
      <w:r/>
    </w:p>
    <w:p>
      <w:pPr>
        <w:pStyle w:val="857"/>
        <w:jc w:val="both"/>
        <w:spacing w:before="145" w:beforeAutospacing="0" w:after="145" w:afterAutospacing="0" w:line="436" w:lineRule="exact"/>
        <w:widowControl w:val="off"/>
        <w:rPr>
          <w:rFonts w:hint="eastAsia"/>
          <w:color w:val="auto"/>
          <w:highlight w:val="none"/>
        </w:rPr>
      </w:pPr>
      <w:r>
        <w:rPr>
          <w:rFonts w:hint="eastAsia"/>
          <w:color w:val="auto"/>
          <w:szCs w:val="24"/>
          <w:highlight w:val="none"/>
        </w:rPr>
        <w:t xml:space="preserve">7.3乙方如有转包或未经甲方同意的分包行为，甲方有权解除合同。</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八、合同款项支付</w:t>
      </w:r>
      <w:r/>
    </w:p>
    <w:p>
      <w:pPr>
        <w:ind w:firstLine="480"/>
        <w:spacing w:line="450" w:lineRule="exact"/>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rPr>
        <w:t xml:space="preserve">8.1合同款项的支付方式及进度安排</w:t>
      </w:r>
      <w:r>
        <w:rPr>
          <w:rFonts w:hint="eastAsia" w:cs="宋体"/>
          <w:color w:val="auto"/>
          <w:sz w:val="24"/>
          <w:szCs w:val="24"/>
          <w:highlight w:val="none"/>
        </w:rPr>
        <w:t xml:space="preserve">：</w:t>
      </w:r>
      <w:r>
        <w:rPr>
          <w:rFonts w:hint="eastAsia" w:ascii="宋体" w:hAnsi="宋体" w:eastAsia="宋体" w:cs="宋体"/>
          <w:i w:val="0"/>
          <w:iCs w:val="0"/>
          <w:color w:val="auto"/>
          <w:sz w:val="24"/>
          <w:szCs w:val="24"/>
          <w:highlight w:val="none"/>
          <w:u w:val="none"/>
        </w:rPr>
        <w:t xml:space="preserve">合同签订后</w:t>
      </w:r>
      <w:r>
        <w:rPr>
          <w:rFonts w:hint="eastAsia" w:ascii="宋体" w:hAnsi="宋体" w:eastAsia="宋体" w:cs="宋体"/>
          <w:i w:val="0"/>
          <w:iCs w:val="0"/>
          <w:color w:val="auto"/>
          <w:sz w:val="24"/>
          <w:szCs w:val="24"/>
          <w:highlight w:val="none"/>
          <w:u w:val="none"/>
          <w:lang w:val="en-US" w:eastAsia="zh-CN"/>
        </w:rPr>
        <w:t xml:space="preserve">甲方向乙方</w:t>
      </w:r>
      <w:r>
        <w:rPr>
          <w:rFonts w:hint="eastAsia" w:ascii="宋体" w:hAnsi="宋体" w:eastAsia="宋体" w:cs="宋体"/>
          <w:i w:val="0"/>
          <w:iCs w:val="0"/>
          <w:color w:val="auto"/>
          <w:sz w:val="24"/>
          <w:szCs w:val="24"/>
          <w:highlight w:val="none"/>
          <w:u w:val="none"/>
        </w:rPr>
        <w:t xml:space="preserve">支付合同价款的30%为预付款。海上打捞浒苔处置工作结束，驳船处置项目经费审定后，</w:t>
      </w:r>
      <w:r>
        <w:rPr>
          <w:rFonts w:hint="eastAsia" w:ascii="宋体" w:hAnsi="宋体" w:eastAsia="宋体" w:cs="宋体"/>
          <w:i w:val="0"/>
          <w:iCs w:val="0"/>
          <w:color w:val="auto"/>
          <w:sz w:val="24"/>
          <w:szCs w:val="24"/>
          <w:highlight w:val="none"/>
          <w:u w:val="none"/>
          <w:lang w:val="en-US" w:eastAsia="zh-CN"/>
        </w:rPr>
        <w:t xml:space="preserve">甲方</w:t>
      </w:r>
      <w:r>
        <w:rPr>
          <w:rFonts w:hint="eastAsia" w:ascii="宋体" w:hAnsi="宋体" w:eastAsia="宋体" w:cs="宋体"/>
          <w:i w:val="0"/>
          <w:iCs w:val="0"/>
          <w:color w:val="auto"/>
          <w:sz w:val="24"/>
          <w:szCs w:val="24"/>
          <w:highlight w:val="none"/>
          <w:u w:val="none"/>
        </w:rPr>
        <w:t xml:space="preserve">向</w:t>
      </w:r>
      <w:r>
        <w:rPr>
          <w:rFonts w:hint="eastAsia" w:ascii="宋体" w:hAnsi="宋体" w:eastAsia="宋体" w:cs="宋体"/>
          <w:i w:val="0"/>
          <w:iCs w:val="0"/>
          <w:color w:val="auto"/>
          <w:sz w:val="24"/>
          <w:szCs w:val="24"/>
          <w:highlight w:val="none"/>
          <w:u w:val="none"/>
          <w:lang w:val="en-US" w:eastAsia="zh-CN"/>
        </w:rPr>
        <w:t xml:space="preserve">乙方</w:t>
      </w:r>
      <w:r>
        <w:rPr>
          <w:rFonts w:hint="eastAsia" w:ascii="宋体" w:hAnsi="宋体" w:eastAsia="宋体" w:cs="宋体"/>
          <w:i w:val="0"/>
          <w:iCs w:val="0"/>
          <w:color w:val="auto"/>
          <w:sz w:val="24"/>
          <w:szCs w:val="24"/>
          <w:highlight w:val="none"/>
          <w:u w:val="none"/>
        </w:rPr>
        <w:t xml:space="preserve">全额支付剩余项目款项。</w:t>
      </w:r>
      <w:r/>
    </w:p>
    <w:p>
      <w:pPr>
        <w:ind w:firstLine="480"/>
        <w:spacing w:line="450" w:lineRule="exact"/>
        <w:rPr>
          <w:rFonts w:hint="eastAsia" w:ascii="宋体" w:hAnsi="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注：上述款项支付时，</w:t>
      </w:r>
      <w:r>
        <w:rPr>
          <w:rFonts w:hint="eastAsia" w:ascii="宋体" w:hAnsi="宋体" w:eastAsia="宋体" w:cs="宋体"/>
          <w:i w:val="0"/>
          <w:iCs w:val="0"/>
          <w:color w:val="auto"/>
          <w:sz w:val="24"/>
          <w:szCs w:val="24"/>
          <w:highlight w:val="none"/>
          <w:u w:val="none"/>
          <w:lang w:val="en-US" w:eastAsia="zh-CN"/>
        </w:rPr>
        <w:t xml:space="preserve">乙方</w:t>
      </w:r>
      <w:r>
        <w:rPr>
          <w:rFonts w:hint="eastAsia" w:ascii="宋体" w:hAnsi="宋体" w:eastAsia="宋体" w:cs="宋体"/>
          <w:i w:val="0"/>
          <w:iCs w:val="0"/>
          <w:color w:val="auto"/>
          <w:sz w:val="24"/>
          <w:szCs w:val="24"/>
          <w:highlight w:val="none"/>
          <w:u w:val="none"/>
        </w:rPr>
        <w:t xml:space="preserve">必须先向</w:t>
      </w:r>
      <w:r>
        <w:rPr>
          <w:rFonts w:hint="eastAsia" w:ascii="宋体" w:hAnsi="宋体" w:eastAsia="宋体" w:cs="宋体"/>
          <w:i w:val="0"/>
          <w:iCs w:val="0"/>
          <w:color w:val="auto"/>
          <w:sz w:val="24"/>
          <w:szCs w:val="24"/>
          <w:highlight w:val="none"/>
          <w:u w:val="none"/>
          <w:lang w:val="en-US" w:eastAsia="zh-CN"/>
        </w:rPr>
        <w:t xml:space="preserve">甲方</w:t>
      </w:r>
      <w:r>
        <w:rPr>
          <w:rFonts w:hint="eastAsia" w:ascii="宋体" w:hAnsi="宋体" w:eastAsia="宋体" w:cs="宋体"/>
          <w:i w:val="0"/>
          <w:iCs w:val="0"/>
          <w:color w:val="auto"/>
          <w:sz w:val="24"/>
          <w:szCs w:val="24"/>
          <w:highlight w:val="none"/>
          <w:u w:val="none"/>
        </w:rPr>
        <w:t xml:space="preserve">提供符合税法的等额正规发票，否则迟延付款的责任由供应商自行承担。</w:t>
      </w:r>
      <w:r>
        <w:rPr>
          <w:rFonts w:hint="eastAsia" w:ascii="宋体" w:hAnsi="宋体" w:eastAsia="宋体" w:cs="宋体"/>
          <w:i w:val="0"/>
          <w:iCs w:val="0"/>
          <w:color w:val="auto"/>
          <w:sz w:val="24"/>
          <w:szCs w:val="24"/>
          <w:highlight w:val="none"/>
          <w:u w:val="none"/>
          <w:lang w:val="en-US" w:eastAsia="zh-CN"/>
        </w:rPr>
        <w:t xml:space="preserve">甲方</w:t>
      </w:r>
      <w:r>
        <w:rPr>
          <w:rFonts w:hint="eastAsia" w:ascii="宋体" w:hAnsi="宋体" w:eastAsia="宋体" w:cs="宋体"/>
          <w:i w:val="0"/>
          <w:iCs w:val="0"/>
          <w:color w:val="auto"/>
          <w:sz w:val="24"/>
          <w:szCs w:val="24"/>
          <w:highlight w:val="none"/>
          <w:u w:val="none"/>
        </w:rPr>
        <w:t xml:space="preserve">对满足合同约定支付条件的项目自收到发票后 10个工作日内将资金支付到约定的</w:t>
      </w:r>
      <w:r>
        <w:rPr>
          <w:rFonts w:hint="eastAsia" w:ascii="宋体" w:hAnsi="宋体" w:eastAsia="宋体" w:cs="宋体"/>
          <w:i w:val="0"/>
          <w:iCs w:val="0"/>
          <w:color w:val="auto"/>
          <w:sz w:val="24"/>
          <w:szCs w:val="24"/>
          <w:highlight w:val="none"/>
          <w:u w:val="none"/>
          <w:lang w:val="en-US" w:eastAsia="zh-CN"/>
        </w:rPr>
        <w:t xml:space="preserve">乙方</w:t>
      </w:r>
      <w:r>
        <w:rPr>
          <w:rFonts w:hint="eastAsia" w:ascii="宋体" w:hAnsi="宋体" w:eastAsia="宋体" w:cs="宋体"/>
          <w:i w:val="0"/>
          <w:iCs w:val="0"/>
          <w:color w:val="auto"/>
          <w:sz w:val="24"/>
          <w:szCs w:val="24"/>
          <w:highlight w:val="none"/>
          <w:u w:val="none"/>
        </w:rPr>
        <w:t xml:space="preserve">账户（以发票开具日期计算）。</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8.2 当采购数量与实际使用数量不一致时，乙方根据实际使用量提供产品和服务，合同的最终结算金额按实际使用量乘以成交单价进行计算。</w:t>
      </w:r>
      <w:r/>
    </w:p>
    <w:p>
      <w:pPr>
        <w:pStyle w:val="857"/>
        <w:jc w:val="both"/>
        <w:spacing w:before="145" w:beforeAutospacing="0" w:after="145" w:afterAutospacing="0" w:line="436" w:lineRule="exact"/>
        <w:widowControl w:val="off"/>
        <w:rPr>
          <w:rFonts w:hint="eastAsia"/>
          <w:color w:val="auto"/>
          <w:highlight w:val="none"/>
        </w:rPr>
      </w:pPr>
      <w:r>
        <w:rPr>
          <w:rFonts w:hint="eastAsia"/>
          <w:b/>
          <w:bCs/>
          <w:color w:val="auto"/>
          <w:szCs w:val="24"/>
          <w:highlight w:val="none"/>
        </w:rPr>
        <w:t xml:space="preserve">九、税费</w:t>
      </w:r>
      <w:r/>
    </w:p>
    <w:p>
      <w:pPr>
        <w:pStyle w:val="857"/>
        <w:jc w:val="both"/>
        <w:spacing w:before="145" w:beforeAutospacing="0" w:after="145" w:afterAutospacing="0" w:line="436" w:lineRule="exact"/>
        <w:widowControl w:val="off"/>
        <w:rPr>
          <w:rFonts w:hint="eastAsia"/>
          <w:color w:val="auto"/>
          <w:highlight w:val="none"/>
        </w:rPr>
      </w:pPr>
      <w:r>
        <w:rPr>
          <w:rFonts w:hint="eastAsia"/>
          <w:color w:val="auto"/>
          <w:szCs w:val="24"/>
          <w:highlight w:val="none"/>
        </w:rPr>
        <w:t xml:space="preserve">9.1本合同执行中相关的一切税费均由乙方负担。</w:t>
      </w:r>
      <w:r/>
    </w:p>
    <w:p>
      <w:pPr>
        <w:pStyle w:val="857"/>
        <w:numPr>
          <w:ilvl w:val="0"/>
          <w:numId w:val="1"/>
        </w:numPr>
        <w:jc w:val="both"/>
        <w:spacing w:before="120" w:beforeAutospacing="0" w:after="120" w:afterAutospacing="0" w:line="436" w:lineRule="exact"/>
        <w:widowControl w:val="off"/>
        <w:rPr>
          <w:rFonts w:hint="eastAsia"/>
          <w:b/>
          <w:bCs/>
          <w:color w:val="auto"/>
          <w:szCs w:val="24"/>
          <w:highlight w:val="none"/>
        </w:rPr>
      </w:pPr>
      <w:r>
        <w:rPr>
          <w:rFonts w:hint="eastAsia"/>
          <w:b/>
          <w:bCs/>
          <w:color w:val="auto"/>
          <w:szCs w:val="24"/>
          <w:highlight w:val="none"/>
        </w:rPr>
        <w:t xml:space="preserve">项目验收</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1、政府采购合同履约验收条件达到时，甲方应启动履约验收工作，并向乙方发出《政府采购履约验收通知单》。</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2、甲方负责履约验收具体工作并应当成立验收小组。验收小组由甲方指定的</w:t>
      </w:r>
      <w:r>
        <w:rPr>
          <w:rFonts w:hint="eastAsia"/>
          <w:color w:val="auto"/>
          <w:szCs w:val="24"/>
          <w:highlight w:val="none"/>
        </w:rPr>
        <w:t xml:space="preserve">本单位3名(含)以上单数工作人员组成，并确定一名负责人。参与本项目评审的甲方代表不能作为负责人，分期(分段)验收的负责人原则上应当保持一致，负责人不得无故更换。根据采购项目特点和实际需要，可以邀请相关领域专业技术人员等作为验收小组成员参与验收。前期参与本采购项目相关购活动的采购代理机构工作人员、评审专家以及与乙方有利害关系的人员，不得作为验收小组成员参与履约验收。财政部门政府采购监管人员不得作为验收小组成员参与履约验收。技术复杂或专业性强的政府采购项目，可以邀请有资质的第三方专业机构参加验收并出具专业意见。</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3、对于甲方和使用人分离的采购项目，甲方应当邀请实际使用人参与验收。</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4、验收小组应当制定验收工作实施方案，按照方案开展验收，出具验收意见。验收意见应当客观真实反映政府采购合同履行情况。履约验收范围应当完整，与政府采购合同一致，不得省略、遗漏和缺失，也不得擅自扩大范围。</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5、履约验收标准应当符合政府采购合同约定、法律法规以及国家强制性标准等，对服务类采购项目，可以参照行业标准、专业标准等。验收小组应当按照验收工作实施方案开展验收，对乙方提供服务按照采购文件、投标(响应)文件、封存样品、检测报告、政府采购合同等进行逐一核对、验收，并做好验收记录。</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6、甲方、乙方应当对验收小组出具的验收意见进行确认，并形成政府采购履约验收书。对验收意见存在异议的，甲方与乙方双方可以协商解决，或通过法律途径解决。项目履约验收合格的，甲方应当根据政府采购合同约定及时向乙方支付采购资金、退还履约保证金，不得拖延、拖欠或非法扣留。项目验收不合格的，甲方应当停止支付采购资金，并按照政府采购合同约定追究乙方违约责任。</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7、对履约验收发生的检测(检验)费等费用支出、验收小组成员中的专业技术人员费用支出由乙方承担，执行标准可参照江苏省政府采购专家评审费，</w:t>
      </w:r>
      <w:r/>
    </w:p>
    <w:p>
      <w:pPr>
        <w:pStyle w:val="857"/>
        <w:jc w:val="both"/>
        <w:spacing w:before="145" w:beforeAutospacing="0" w:after="145" w:afterAutospacing="0" w:line="436" w:lineRule="exact"/>
        <w:widowControl w:val="off"/>
        <w:rPr>
          <w:rFonts w:hint="eastAsia"/>
          <w:color w:val="auto"/>
          <w:szCs w:val="24"/>
          <w:highlight w:val="none"/>
        </w:rPr>
      </w:pPr>
      <w:r>
        <w:rPr>
          <w:rFonts w:hint="eastAsia"/>
          <w:color w:val="auto"/>
          <w:szCs w:val="24"/>
          <w:highlight w:val="none"/>
        </w:rPr>
        <w:t xml:space="preserve">8、履约验收过程中的政府采购合同履行、违约责任和争议解决等事项，按照《中华人民共和国民法典》等法律法规和政府采购合同约定执行。</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十一、违约责任</w:t>
      </w:r>
      <w:r/>
    </w:p>
    <w:p>
      <w:pPr>
        <w:pStyle w:val="857"/>
        <w:jc w:val="both"/>
        <w:spacing w:before="0" w:beforeAutospacing="0" w:after="0" w:afterAutospacing="0" w:line="436" w:lineRule="exact"/>
        <w:widowControl w:val="off"/>
        <w:rPr>
          <w:rFonts w:hint="eastAsia"/>
          <w:color w:val="auto"/>
          <w:szCs w:val="24"/>
          <w:highlight w:val="none"/>
        </w:rPr>
      </w:pPr>
      <w:r>
        <w:rPr>
          <w:rFonts w:hint="eastAsia"/>
          <w:color w:val="auto"/>
          <w:szCs w:val="24"/>
          <w:highlight w:val="none"/>
        </w:rPr>
        <w:t xml:space="preserve">11.1 乙方逾期交付合同标的的，乙方应按逾期交付合同总额每日万分之五向甲方支付违约金，由甲方从待付合同款项中扣除。逾期超过约定日期10个工作日不能交付合同标的的，甲方可解除本合同。</w:t>
      </w:r>
      <w:r/>
    </w:p>
    <w:p>
      <w:pPr>
        <w:pStyle w:val="857"/>
        <w:jc w:val="both"/>
        <w:spacing w:before="0" w:beforeAutospacing="0" w:after="0" w:afterAutospacing="0" w:line="436" w:lineRule="exact"/>
        <w:widowControl w:val="off"/>
        <w:rPr>
          <w:rFonts w:hint="eastAsia"/>
          <w:b/>
          <w:bCs/>
          <w:color w:val="auto"/>
          <w:highlight w:val="none"/>
        </w:rPr>
      </w:pPr>
      <w:r>
        <w:rPr>
          <w:rFonts w:hint="eastAsia"/>
          <w:b/>
          <w:bCs/>
          <w:color w:val="auto"/>
          <w:szCs w:val="24"/>
          <w:highlight w:val="none"/>
        </w:rPr>
        <w:t xml:space="preserve">11.2 乙方如发生交付标的与合同及招标文件要求不符、未按时提供技术资料或泄露保密信息、存在知识产权或产权瑕疵、擅自转包或分包、验收不合格、未按约定开具发票、违反安全生产或人员配备要求、未履行实质性条款（包括服务期限、付款条件、设备配置等）或其他违约行为的，甲方有权要求限期整改、有权解除合同、追偿已支付款项，并追究违约金（按合同总额10%计付）及全部损失赔偿责任（含直接损失、间接损失、衍生费用等），具体责任按合同相关条款执行。</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十二、不可抗力事件处理</w:t>
      </w:r>
      <w:r/>
    </w:p>
    <w:p>
      <w:pPr>
        <w:pStyle w:val="857"/>
        <w:jc w:val="both"/>
        <w:spacing w:before="0" w:beforeAutospacing="0" w:after="0" w:afterAutospacing="0" w:line="436" w:lineRule="exact"/>
        <w:widowControl w:val="off"/>
        <w:rPr>
          <w:rFonts w:hint="eastAsia"/>
          <w:color w:val="auto"/>
          <w:highlight w:val="none"/>
        </w:rPr>
      </w:pPr>
      <w:r>
        <w:rPr>
          <w:rFonts w:hint="eastAsia"/>
          <w:color w:val="auto"/>
          <w:szCs w:val="24"/>
          <w:highlight w:val="none"/>
        </w:rPr>
        <w:t xml:space="preserve">12.1 在合同有效期内，任何一方因不可抗力事件导致不能履行合同，则合同履行期可延长，其延长期与不可抗力影响期相同。</w:t>
      </w:r>
      <w:r/>
    </w:p>
    <w:p>
      <w:pPr>
        <w:pStyle w:val="857"/>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12.2 不可抗力事件发生后，应立即通知对方，并寄送有关权威机构出具的证明。</w:t>
      </w:r>
      <w:r/>
    </w:p>
    <w:p>
      <w:pPr>
        <w:pStyle w:val="857"/>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12.3 不可抗力事件延续120天以上，双方应通过友好协商，确定是否继续履行合同。</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十三、解决争议的方法</w:t>
      </w:r>
      <w:r/>
    </w:p>
    <w:p>
      <w:pPr>
        <w:jc w:val="left"/>
        <w:spacing w:line="436"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13.1</w:t>
      </w:r>
      <w:r>
        <w:rPr>
          <w:rFonts w:ascii="宋体" w:hAnsi="宋体"/>
          <w:color w:val="auto"/>
          <w:sz w:val="24"/>
          <w:szCs w:val="24"/>
          <w:highlight w:val="none"/>
        </w:rPr>
        <w:t xml:space="preserve">甲、乙</w:t>
      </w:r>
      <w:r>
        <w:rPr>
          <w:rFonts w:hint="eastAsia" w:ascii="宋体" w:hAnsi="宋体"/>
          <w:color w:val="auto"/>
          <w:sz w:val="24"/>
          <w:szCs w:val="24"/>
          <w:highlight w:val="none"/>
        </w:rPr>
        <w:t xml:space="preserve">双方在执行合同中所发生的一切争议，</w:t>
      </w:r>
      <w:r>
        <w:rPr>
          <w:rFonts w:hint="eastAsia" w:ascii="宋体" w:hAnsi="宋体" w:cs="宋体"/>
          <w:color w:val="auto"/>
          <w:sz w:val="24"/>
          <w:szCs w:val="24"/>
          <w:highlight w:val="none"/>
        </w:rPr>
        <w:t xml:space="preserve">应通过友好协商解决</w:t>
      </w:r>
      <w:r>
        <w:rPr>
          <w:rFonts w:hint="eastAsia" w:ascii="宋体" w:hAnsi="宋体"/>
          <w:color w:val="auto"/>
          <w:sz w:val="24"/>
          <w:szCs w:val="24"/>
          <w:highlight w:val="none"/>
        </w:rPr>
        <w:t xml:space="preserve">。如协商不成，按下列第</w:t>
      </w:r>
      <w:r>
        <w:rPr>
          <w:rFonts w:hint="eastAsia" w:ascii="宋体" w:hAnsi="宋体"/>
          <w:color w:val="auto"/>
          <w:sz w:val="24"/>
          <w:szCs w:val="24"/>
          <w:highlight w:val="none"/>
          <w:u w:val="single"/>
        </w:rPr>
        <w:t xml:space="preserve"> （2） </w:t>
      </w:r>
      <w:r>
        <w:rPr>
          <w:rFonts w:hint="eastAsia" w:ascii="宋体" w:hAnsi="宋体"/>
          <w:color w:val="auto"/>
          <w:sz w:val="24"/>
          <w:szCs w:val="24"/>
          <w:highlight w:val="none"/>
        </w:rPr>
        <w:t xml:space="preserve">种方式解决：</w:t>
      </w:r>
      <w:r/>
    </w:p>
    <w:p>
      <w:pPr>
        <w:jc w:val="left"/>
        <w:spacing w:line="436"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（1）向连云港仲裁委员会申请仲裁。</w:t>
      </w:r>
      <w:r/>
    </w:p>
    <w:p>
      <w:pPr>
        <w:jc w:val="left"/>
        <w:spacing w:line="436" w:lineRule="exact"/>
        <w:rPr>
          <w:color w:val="auto"/>
          <w:highlight w:val="none"/>
        </w:rPr>
      </w:pPr>
      <w:r>
        <w:rPr>
          <w:rFonts w:hint="eastAsia" w:ascii="宋体" w:hAnsi="宋体"/>
          <w:color w:val="auto"/>
          <w:sz w:val="24"/>
          <w:szCs w:val="24"/>
          <w:highlight w:val="none"/>
        </w:rPr>
        <w:t xml:space="preserve">（2）向合同签订地法院起诉，合同签订地在此约定为连云港市赣榆区。</w:t>
      </w:r>
      <w:r/>
    </w:p>
    <w:p>
      <w:pPr>
        <w:pStyle w:val="857"/>
        <w:jc w:val="both"/>
        <w:spacing w:before="120" w:beforeAutospacing="0" w:after="120" w:afterAutospacing="0" w:line="436" w:lineRule="exact"/>
        <w:widowControl w:val="off"/>
        <w:rPr>
          <w:rFonts w:hint="eastAsia"/>
          <w:color w:val="auto"/>
          <w:highlight w:val="none"/>
        </w:rPr>
      </w:pPr>
      <w:r>
        <w:rPr>
          <w:rFonts w:hint="eastAsia"/>
          <w:b/>
          <w:bCs/>
          <w:color w:val="auto"/>
          <w:szCs w:val="24"/>
          <w:highlight w:val="none"/>
        </w:rPr>
        <w:t xml:space="preserve">十四、合同生效及其它</w:t>
      </w:r>
      <w:r/>
    </w:p>
    <w:p>
      <w:pPr>
        <w:pStyle w:val="857"/>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14.1 合同经双方法定代表人或授权委托代表人</w:t>
      </w:r>
      <w:r>
        <w:rPr>
          <w:rFonts w:hint="eastAsia"/>
          <w:b/>
          <w:bCs/>
          <w:color w:val="auto"/>
          <w:szCs w:val="24"/>
          <w:highlight w:val="none"/>
          <w:u w:val="single"/>
        </w:rPr>
        <w:t xml:space="preserve">签字并加盖单位公章后</w:t>
      </w:r>
      <w:r>
        <w:rPr>
          <w:rFonts w:hint="eastAsia"/>
          <w:color w:val="auto"/>
          <w:szCs w:val="24"/>
          <w:highlight w:val="none"/>
        </w:rPr>
        <w:t xml:space="preserve">生效。</w:t>
      </w:r>
      <w:r/>
    </w:p>
    <w:p>
      <w:pPr>
        <w:pStyle w:val="857"/>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14.2本合同未尽事宜，遵照《民法典》、《政府采购法》有关条文执行。</w:t>
      </w:r>
      <w:r/>
    </w:p>
    <w:p>
      <w:pPr>
        <w:pStyle w:val="857"/>
        <w:ind w:left="480" w:hanging="480"/>
        <w:jc w:val="both"/>
        <w:spacing w:before="120" w:beforeAutospacing="0" w:after="120" w:afterAutospacing="0" w:line="436" w:lineRule="exact"/>
        <w:widowControl w:val="off"/>
        <w:rPr>
          <w:rFonts w:hint="eastAsia"/>
          <w:color w:val="auto"/>
          <w:szCs w:val="24"/>
          <w:highlight w:val="none"/>
        </w:rPr>
      </w:pPr>
      <w:r>
        <w:rPr>
          <w:rFonts w:hint="eastAsia"/>
          <w:color w:val="auto"/>
          <w:szCs w:val="24"/>
          <w:highlight w:val="none"/>
        </w:rPr>
        <w:t xml:space="preserve">14.3 本合同正本一式七份，具有同等法律效力，甲方、乙方各执三份，财政监管部门执一份。</w:t>
      </w:r>
      <w:r/>
    </w:p>
    <w:p>
      <w:pPr>
        <w:spacing w:line="436"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1</w:t>
      </w:r>
      <w:r>
        <w:rPr>
          <w:rFonts w:ascii="Times New Roman" w:hAnsi="Times New Roman" w:eastAsia="Times New Roman"/>
          <w:b/>
          <w:color w:val="auto"/>
          <w:sz w:val="24"/>
          <w:highlight w:val="none"/>
        </w:rPr>
        <w:t xml:space="preserve">4</w:t>
      </w:r>
      <w:r>
        <w:rPr>
          <w:rFonts w:ascii="宋体" w:hAnsi="宋体" w:cs="宋体"/>
          <w:b/>
          <w:color w:val="auto"/>
          <w:sz w:val="24"/>
          <w:highlight w:val="none"/>
        </w:rPr>
        <w:t xml:space="preserve">.4自政府采购合同签订之日起2个工作日内，将政府采购合同在指定的媒体上公告。</w:t>
      </w:r>
      <w:r>
        <w:rPr>
          <w:rFonts w:hint="eastAsia" w:ascii="宋体" w:hAnsi="宋体" w:cs="宋体"/>
          <w:color w:val="auto"/>
          <w:sz w:val="24"/>
          <w:szCs w:val="24"/>
          <w:highlight w:val="none"/>
        </w:rPr>
        <w:t xml:space="preserve">     </w:t>
      </w:r>
      <w:r/>
    </w:p>
    <w:p>
      <w:pPr>
        <w:pStyle w:val="857"/>
        <w:ind w:left="480" w:hanging="480"/>
        <w:jc w:val="both"/>
        <w:spacing w:before="120" w:beforeAutospacing="0" w:after="120" w:afterAutospacing="0" w:line="436" w:lineRule="exact"/>
        <w:widowControl w:val="off"/>
        <w:rPr>
          <w:rFonts w:hint="eastAsia"/>
          <w:color w:val="auto"/>
          <w:highlight w:val="none"/>
        </w:rPr>
      </w:pPr>
      <w:r>
        <w:rPr>
          <w:rFonts w:hint="eastAsia"/>
          <w:color w:val="auto"/>
          <w:szCs w:val="24"/>
          <w:highlight w:val="none"/>
        </w:rPr>
        <w:t xml:space="preserve">甲方（公章）：                乙方（公章）： </w:t>
      </w:r>
      <w:r/>
    </w:p>
    <w:p>
      <w:pPr>
        <w:pStyle w:val="857"/>
        <w:jc w:val="both"/>
        <w:spacing w:before="120" w:beforeAutospacing="0" w:after="120" w:afterAutospacing="0" w:line="436" w:lineRule="exact"/>
        <w:widowControl w:val="off"/>
        <w:rPr>
          <w:rFonts w:hint="eastAsia"/>
          <w:color w:val="auto"/>
          <w:szCs w:val="24"/>
          <w:highlight w:val="none"/>
        </w:rPr>
      </w:pPr>
      <w:r>
        <w:rPr>
          <w:rFonts w:hint="eastAsia"/>
          <w:color w:val="auto"/>
          <w:szCs w:val="24"/>
          <w:highlight w:val="none"/>
        </w:rPr>
        <w:t xml:space="preserve">地址：                     地址： </w:t>
      </w:r>
      <w:r/>
    </w:p>
    <w:p>
      <w:pPr>
        <w:pStyle w:val="857"/>
        <w:jc w:val="both"/>
        <w:spacing w:before="120" w:beforeAutospacing="0" w:after="120" w:afterAutospacing="0" w:line="436" w:lineRule="exact"/>
        <w:widowControl w:val="off"/>
        <w:rPr>
          <w:rFonts w:hint="eastAsia"/>
          <w:color w:val="auto"/>
          <w:szCs w:val="24"/>
          <w:highlight w:val="none"/>
        </w:rPr>
      </w:pPr>
      <w:r>
        <w:rPr>
          <w:rFonts w:hint="eastAsia"/>
          <w:color w:val="auto"/>
          <w:szCs w:val="24"/>
          <w:highlight w:val="none"/>
        </w:rPr>
        <w:t xml:space="preserve">法定代表人或授权代表                法定代表人或授权代表：</w:t>
      </w:r>
      <w:r/>
    </w:p>
    <w:p>
      <w:pPr>
        <w:pStyle w:val="857"/>
        <w:jc w:val="both"/>
        <w:spacing w:before="120" w:beforeAutospacing="0" w:after="120" w:afterAutospacing="0" w:line="436" w:lineRule="exact"/>
        <w:widowControl w:val="off"/>
        <w:rPr>
          <w:rFonts w:hint="eastAsia"/>
          <w:color w:val="auto"/>
          <w:szCs w:val="24"/>
          <w:highlight w:val="none"/>
        </w:rPr>
      </w:pPr>
      <w:r>
        <w:rPr>
          <w:rFonts w:hint="eastAsia"/>
          <w:color w:val="auto"/>
          <w:szCs w:val="24"/>
          <w:highlight w:val="none"/>
        </w:rPr>
        <w:t xml:space="preserve">（签字或盖章）：                           （签字或盖章）： </w:t>
      </w:r>
      <w:r/>
    </w:p>
    <w:p>
      <w:pPr>
        <w:pStyle w:val="857"/>
        <w:spacing w:before="0" w:beforeAutospacing="0" w:after="0" w:afterAutospacing="0" w:line="436" w:lineRule="exact"/>
        <w:widowControl w:val="off"/>
        <w:rPr>
          <w:rFonts w:hint="eastAsia"/>
          <w:color w:val="auto"/>
          <w:szCs w:val="24"/>
          <w:highlight w:val="none"/>
        </w:rPr>
      </w:pPr>
      <w:r>
        <w:rPr>
          <w:rFonts w:hint="eastAsia"/>
          <w:color w:val="auto"/>
          <w:szCs w:val="24"/>
          <w:highlight w:val="none"/>
        </w:rPr>
        <w:t xml:space="preserve">联系电话：                         联系电话：             </w:t>
      </w:r>
      <w:r/>
    </w:p>
    <w:p>
      <w:pPr>
        <w:pStyle w:val="857"/>
        <w:spacing w:before="0" w:beforeAutospacing="0" w:after="0" w:afterAutospacing="0" w:line="436" w:lineRule="exact"/>
        <w:widowControl w:val="off"/>
        <w:rPr>
          <w:rFonts w:hint="eastAsia"/>
          <w:color w:val="auto"/>
          <w:szCs w:val="24"/>
          <w:highlight w:val="none"/>
        </w:rPr>
      </w:pPr>
      <w:r>
        <w:rPr>
          <w:rFonts w:hint="eastAsia"/>
          <w:color w:val="auto"/>
          <w:szCs w:val="24"/>
          <w:highlight w:val="none"/>
        </w:rPr>
        <w:t xml:space="preserve">签订日期：   年    月   日                 签订日期：  年   月  日</w:t>
      </w:r>
      <w:r/>
    </w:p>
    <w:p>
      <w:pPr>
        <w:pStyle w:val="857"/>
        <w:spacing w:before="0" w:beforeAutospacing="0" w:after="0" w:afterAutospacing="0" w:line="436"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r/>
    </w:p>
    <w:p>
      <w:pPr>
        <w:pStyle w:val="857"/>
        <w:spacing w:before="0" w:beforeAutospacing="0" w:after="0" w:afterAutospacing="0" w:line="430" w:lineRule="exact"/>
        <w:widowControl w:val="off"/>
        <w:rPr>
          <w:rFonts w:hint="eastAsia"/>
          <w:color w:val="auto"/>
          <w:szCs w:val="24"/>
          <w:highlight w:val="none"/>
        </w:rPr>
      </w:pPr>
      <w:r>
        <w:rPr>
          <w:rFonts w:hint="eastAsia"/>
          <w:color w:val="auto"/>
          <w:szCs w:val="24"/>
          <w:highlight w:val="none"/>
        </w:rPr>
      </w:r>
      <w:bookmarkEnd w:id="165"/>
      <w:r/>
      <w:bookmarkEnd w:id="166"/>
      <w:r/>
      <w:bookmarkEnd w:id="167"/>
      <w:r/>
      <w:bookmarkEnd w:id="168"/>
      <w:r/>
      <w:r/>
    </w:p>
    <w:p>
      <w:pPr>
        <w:pStyle w:val="857"/>
        <w:numPr>
          <w:ilvl w:val="0"/>
          <w:numId w:val="2"/>
        </w:numPr>
        <w:jc w:val="center"/>
        <w:spacing w:before="0" w:beforeAutospacing="0" w:after="0" w:afterAutospacing="0"/>
        <w:widowControl w:val="off"/>
        <w:rPr>
          <w:rFonts w:hint="eastAsia" w:ascii="楷体_GB2312" w:hAnsi="楷体_GB2312" w:cs="Times New Roman"/>
          <w:b/>
          <w:color w:val="auto"/>
          <w:sz w:val="44"/>
          <w:szCs w:val="20"/>
          <w:highlight w:val="none"/>
        </w:rPr>
        <w:outlineLvl w:val="0"/>
      </w:pPr>
      <w:r>
        <w:rPr>
          <w:rFonts w:hint="eastAsia" w:ascii="楷体_GB2312" w:hAnsi="楷体_GB2312" w:cs="Times New Roman"/>
          <w:b/>
          <w:color w:val="auto"/>
          <w:sz w:val="44"/>
          <w:szCs w:val="20"/>
          <w:highlight w:val="none"/>
        </w:rPr>
        <w:t xml:space="preserve">采购需求</w:t>
      </w:r>
      <w:r/>
    </w:p>
    <w:p>
      <w:pPr>
        <w:ind w:firstLine="482"/>
        <w:spacing w:line="45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说明：项目采购方式为公开招标，项目属性为服务，采购标的对应的中小企业划分标准所属行业为</w:t>
      </w:r>
      <w:r>
        <w:rPr>
          <w:rFonts w:hint="eastAsia" w:ascii="宋体" w:hAnsi="宋体" w:cs="宋体"/>
          <w:b/>
          <w:bCs/>
          <w:color w:val="auto"/>
          <w:sz w:val="24"/>
          <w:szCs w:val="24"/>
          <w:highlight w:val="none"/>
          <w:u w:val="single"/>
        </w:rPr>
        <w:t xml:space="preserve">未列明其他行业</w:t>
      </w:r>
      <w:r>
        <w:rPr>
          <w:rFonts w:hint="eastAsia" w:ascii="宋体" w:hAnsi="宋体" w:cs="宋体"/>
          <w:b/>
          <w:bCs/>
          <w:color w:val="auto"/>
          <w:sz w:val="24"/>
          <w:szCs w:val="24"/>
          <w:highlight w:val="none"/>
        </w:rPr>
        <w:t xml:space="preserve">。</w:t>
      </w:r>
      <w:r/>
    </w:p>
    <w:p>
      <w:pPr>
        <w:ind w:firstLine="482"/>
        <w:spacing w:line="45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本章中标注★的款项为实质性要求和条件，投标人必须对实质性要求和条件逐条作出明确响应，否则按无效响应处理。</w:t>
      </w:r>
      <w:r/>
    </w:p>
    <w:p>
      <w:pPr>
        <w:ind w:firstLine="480"/>
        <w:jc w:val="left"/>
        <w:spacing w:line="450" w:lineRule="exact"/>
        <w:rPr>
          <w:rFonts w:asciiTheme="minorEastAsia" w:hAnsiTheme="minorEastAsia"/>
          <w:color w:val="auto"/>
          <w:sz w:val="24"/>
          <w:szCs w:val="24"/>
          <w:highlight w:val="none"/>
        </w:rPr>
      </w:pPr>
      <w:r/>
      <w:bookmarkStart w:id="169" w:name="_Toc465856615"/>
      <w:r/>
      <w:bookmarkStart w:id="170" w:name="_Toc25773"/>
      <w:r>
        <w:rPr>
          <w:rFonts w:hint="eastAsia" w:asciiTheme="minorEastAsia" w:hAnsiTheme="minorEastAsia"/>
          <w:color w:val="auto"/>
          <w:sz w:val="24"/>
          <w:szCs w:val="24"/>
          <w:highlight w:val="none"/>
        </w:rPr>
        <w:t xml:space="preserve">1.根据《政府采购需求管理办法》等有关规定，采购人确定采购需求。</w:t>
      </w:r>
      <w:r/>
    </w:p>
    <w:p>
      <w:pPr>
        <w:ind w:firstLine="480"/>
        <w:jc w:val="left"/>
        <w:spacing w:line="450" w:lineRule="exact"/>
        <w:rPr>
          <w:color w:val="auto"/>
          <w:sz w:val="24"/>
          <w:szCs w:val="24"/>
          <w:highlight w:val="none"/>
        </w:rPr>
      </w:pPr>
      <w:r>
        <w:rPr>
          <w:rFonts w:hint="eastAsia"/>
          <w:color w:val="auto"/>
          <w:sz w:val="24"/>
          <w:szCs w:val="24"/>
          <w:highlight w:val="none"/>
        </w:rPr>
        <w:t xml:space="preserve">2、</w:t>
      </w:r>
      <w:r>
        <w:rPr>
          <w:rFonts w:hint="eastAsia"/>
          <w:b/>
          <w:color w:val="auto"/>
          <w:sz w:val="24"/>
          <w:szCs w:val="24"/>
          <w:highlight w:val="none"/>
        </w:rPr>
        <w:t xml:space="preserve">本采购文件中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，由采购人根据实际情况设置，供应商须逐条明确作出满足实质性要求和条件的响应，否则将按无效响应处理。</w:t>
      </w:r>
      <w:r/>
    </w:p>
    <w:tbl>
      <w:tblPr>
        <w:tblStyle w:val="1039"/>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9314"/>
      </w:tblGrid>
      <w:tr>
        <w:trPr>
          <w:jc w:val="center"/>
        </w:trPr>
        <w:tc>
          <w:tcPr>
            <w:gridSpan w:val="2"/>
            <w:tcW w:w="10123" w:type="dxa"/>
            <w:vAlign w:val="center"/>
            <w:textDirection w:val="lrTb"/>
            <w:noWrap w:val="false"/>
          </w:tcPr>
          <w:p>
            <w:pPr>
              <w:jc w:val="center"/>
              <w:spacing w:line="450" w:lineRule="exact"/>
              <w:rPr>
                <w:rFonts w:hint="eastAsia"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jc w:val="center"/>
        </w:trPr>
        <w:tc>
          <w:tcPr>
            <w:tcW w:w="809" w:type="dxa"/>
            <w:textDirection w:val="lrTb"/>
            <w:noWrap w:val="false"/>
          </w:tcPr>
          <w:p>
            <w:pPr>
              <w:jc w:val="center"/>
              <w:spacing w:line="450" w:lineRule="exact"/>
              <w:rPr>
                <w:b/>
                <w:color w:val="auto"/>
                <w:sz w:val="24"/>
                <w:szCs w:val="24"/>
                <w:highlight w:val="none"/>
              </w:rPr>
            </w:pPr>
            <w:r>
              <w:rPr>
                <w:b/>
                <w:color w:val="auto"/>
                <w:sz w:val="24"/>
                <w:szCs w:val="24"/>
                <w:highlight w:val="none"/>
              </w:rPr>
              <w:t xml:space="preserve">序号</w:t>
            </w:r>
            <w:r/>
          </w:p>
        </w:tc>
        <w:tc>
          <w:tcPr>
            <w:tcW w:w="9314" w:type="dxa"/>
            <w:textDirection w:val="lrTb"/>
            <w:noWrap w:val="false"/>
          </w:tcPr>
          <w:p>
            <w:pPr>
              <w:jc w:val="center"/>
              <w:spacing w:line="450" w:lineRule="exact"/>
              <w:rPr>
                <w:b/>
                <w:color w:val="auto"/>
                <w:sz w:val="24"/>
                <w:szCs w:val="24"/>
                <w:highlight w:val="none"/>
              </w:rPr>
            </w:pPr>
            <w:r>
              <w:rPr>
                <w:b/>
                <w:color w:val="auto"/>
                <w:sz w:val="24"/>
                <w:szCs w:val="24"/>
                <w:highlight w:val="none"/>
              </w:rPr>
              <w:t xml:space="preserve">实质性要求和条件</w:t>
            </w:r>
            <w:r/>
          </w:p>
        </w:tc>
      </w:tr>
      <w:tr>
        <w:trPr>
          <w:jc w:val="center"/>
        </w:trPr>
        <w:tc>
          <w:tcPr>
            <w:tcW w:w="809" w:type="dxa"/>
            <w:vAlign w:val="center"/>
            <w:textDirection w:val="lrTb"/>
            <w:noWrap w:val="false"/>
          </w:tcPr>
          <w:p>
            <w:pPr>
              <w:jc w:val="center"/>
              <w:spacing w:line="450" w:lineRule="exact"/>
              <w:rPr>
                <w:color w:val="auto"/>
                <w:sz w:val="24"/>
                <w:szCs w:val="24"/>
                <w:highlight w:val="none"/>
              </w:rPr>
            </w:pPr>
            <w:r>
              <w:rPr>
                <w:rFonts w:hint="eastAsia"/>
                <w:color w:val="auto"/>
                <w:sz w:val="24"/>
                <w:szCs w:val="24"/>
                <w:highlight w:val="none"/>
              </w:rPr>
              <w:t xml:space="preserve">1</w:t>
            </w:r>
            <w:r/>
          </w:p>
        </w:tc>
        <w:tc>
          <w:tcPr>
            <w:tcW w:w="9314" w:type="dxa"/>
            <w:textDirection w:val="lrTb"/>
            <w:noWrap w:val="false"/>
          </w:tcPr>
          <w:p>
            <w:pPr>
              <w:spacing w:line="450" w:lineRule="exact"/>
              <w:rPr>
                <w:rFonts w:hint="eastAsia" w:ascii="宋体" w:hAnsi="宋体" w:cs="宋体"/>
                <w:i/>
                <w:iCs/>
                <w:color w:val="auto"/>
                <w:sz w:val="24"/>
                <w:highlight w:val="none"/>
                <w:u w:val="single"/>
              </w:rPr>
            </w:pPr>
            <w:r>
              <w:rPr>
                <w:rFonts w:hint="eastAsia" w:ascii="宋体" w:hAnsi="宋体" w:cs="宋体"/>
                <w:b/>
                <w:bCs/>
                <w:color w:val="auto"/>
                <w:sz w:val="24"/>
                <w:szCs w:val="24"/>
                <w:highlight w:val="none"/>
              </w:rPr>
              <w:t xml:space="preserve">★</w:t>
            </w:r>
            <w:r>
              <w:rPr>
                <w:rFonts w:hint="eastAsia" w:ascii="宋体" w:hAnsi="宋体" w:cs="宋体"/>
                <w:i/>
                <w:iCs/>
                <w:color w:val="auto"/>
                <w:sz w:val="24"/>
                <w:highlight w:val="none"/>
                <w:u w:val="single"/>
              </w:rPr>
              <w:t xml:space="preserve">服务期：按照采购人及上级主管部门要求，具体时间以实际服务天数为准。</w:t>
            </w:r>
            <w:r/>
          </w:p>
        </w:tc>
      </w:tr>
      <w:tr>
        <w:trPr>
          <w:jc w:val="center"/>
        </w:trPr>
        <w:tc>
          <w:tcPr>
            <w:tcW w:w="809" w:type="dxa"/>
            <w:vAlign w:val="center"/>
            <w:textDirection w:val="lrTb"/>
            <w:noWrap w:val="false"/>
          </w:tcPr>
          <w:p>
            <w:pPr>
              <w:jc w:val="center"/>
              <w:spacing w:line="450" w:lineRule="exact"/>
              <w:rPr>
                <w:color w:val="auto"/>
                <w:sz w:val="24"/>
                <w:szCs w:val="24"/>
                <w:highlight w:val="none"/>
              </w:rPr>
            </w:pPr>
            <w:r>
              <w:rPr>
                <w:rFonts w:hint="eastAsia"/>
                <w:color w:val="auto"/>
                <w:sz w:val="24"/>
                <w:szCs w:val="24"/>
                <w:highlight w:val="none"/>
              </w:rPr>
              <w:t xml:space="preserve">2</w:t>
            </w:r>
            <w:r/>
          </w:p>
        </w:tc>
        <w:tc>
          <w:tcPr>
            <w:tcW w:w="9314" w:type="dxa"/>
            <w:textDirection w:val="lrTb"/>
            <w:noWrap w:val="false"/>
          </w:tcPr>
          <w:p>
            <w:pPr>
              <w:spacing w:line="450" w:lineRule="exact"/>
              <w:rPr>
                <w:rFonts w:hint="eastAsia" w:ascii="宋体" w:hAnsi="宋体" w:cs="宋体"/>
                <w:i/>
                <w:iCs/>
                <w:color w:val="auto"/>
                <w:sz w:val="24"/>
                <w:szCs w:val="24"/>
                <w:highlight w:val="none"/>
                <w:u w:val="single"/>
              </w:rPr>
            </w:pPr>
            <w:r>
              <w:rPr>
                <w:rFonts w:hint="eastAsia" w:ascii="宋体" w:hAnsi="宋体" w:cs="宋体"/>
                <w:b/>
                <w:bCs/>
                <w:color w:val="auto"/>
                <w:sz w:val="24"/>
                <w:szCs w:val="24"/>
                <w:highlight w:val="none"/>
              </w:rPr>
              <w:t xml:space="preserve">★</w:t>
            </w:r>
            <w:r>
              <w:rPr>
                <w:rFonts w:hint="eastAsia" w:ascii="宋体" w:hAnsi="宋体" w:cs="宋体"/>
                <w:i/>
                <w:iCs/>
                <w:color w:val="auto"/>
                <w:sz w:val="24"/>
                <w:szCs w:val="24"/>
                <w:highlight w:val="none"/>
                <w:u w:val="single"/>
              </w:rPr>
              <w:t xml:space="preserve">付款方式</w:t>
            </w:r>
            <w:r/>
          </w:p>
          <w:p>
            <w:pPr>
              <w:ind w:firstLine="480"/>
              <w:spacing w:line="450" w:lineRule="exact"/>
              <w:rPr>
                <w:rFonts w:hint="eastAsia" w:ascii="宋体" w:hAnsi="宋体" w:cs="宋体"/>
                <w:i/>
                <w:iCs/>
                <w:color w:val="auto"/>
                <w:sz w:val="24"/>
                <w:szCs w:val="24"/>
                <w:highlight w:val="none"/>
                <w:u w:val="none"/>
              </w:rPr>
            </w:pPr>
            <w:r>
              <w:rPr>
                <w:rFonts w:hint="eastAsia" w:ascii="宋体" w:hAnsi="宋体" w:cs="宋体"/>
                <w:i/>
                <w:iCs/>
                <w:color w:val="auto"/>
                <w:sz w:val="24"/>
                <w:szCs w:val="24"/>
                <w:highlight w:val="none"/>
                <w:u w:val="none"/>
              </w:rPr>
              <w:t xml:space="preserve">合同签订后采购人向成交供应商支付合同价款的30%为预付款。海上打捞浒苔处置工作结束，驳船处置项目经费审定后，</w:t>
            </w:r>
            <w:r>
              <w:rPr>
                <w:rFonts w:hint="eastAsia" w:ascii="宋体" w:hAnsi="宋体" w:eastAsia="宋体" w:cs="宋体"/>
                <w:i/>
                <w:iCs/>
                <w:color w:val="auto"/>
                <w:sz w:val="24"/>
                <w:szCs w:val="24"/>
                <w:highlight w:val="none"/>
                <w:u w:val="none"/>
              </w:rPr>
              <w:t xml:space="preserve">采购</w:t>
            </w:r>
            <w:r>
              <w:rPr>
                <w:rFonts w:hint="eastAsia" w:ascii="宋体" w:hAnsi="宋体" w:eastAsia="宋体" w:cs="宋体"/>
                <w:i/>
                <w:iCs/>
                <w:color w:val="auto"/>
                <w:sz w:val="24"/>
                <w:szCs w:val="24"/>
                <w:highlight w:val="none"/>
                <w:u w:val="none"/>
                <w:lang w:val="en-US" w:eastAsia="zh-CN"/>
              </w:rPr>
              <w:t xml:space="preserve">人</w:t>
            </w:r>
            <w:r>
              <w:rPr>
                <w:rFonts w:hint="eastAsia" w:ascii="宋体" w:hAnsi="宋体" w:eastAsia="宋体" w:cs="宋体"/>
                <w:i/>
                <w:iCs/>
                <w:color w:val="auto"/>
                <w:sz w:val="24"/>
                <w:szCs w:val="24"/>
                <w:highlight w:val="none"/>
                <w:u w:val="none"/>
              </w:rPr>
              <w:t xml:space="preserve">向</w:t>
            </w:r>
            <w:r>
              <w:rPr>
                <w:rFonts w:hint="eastAsia" w:ascii="宋体" w:hAnsi="宋体" w:cs="宋体"/>
                <w:i/>
                <w:iCs/>
                <w:color w:val="auto"/>
                <w:sz w:val="24"/>
                <w:szCs w:val="24"/>
                <w:highlight w:val="none"/>
                <w:u w:val="none"/>
              </w:rPr>
              <w:t xml:space="preserve">供应商</w:t>
            </w:r>
            <w:r>
              <w:rPr>
                <w:rFonts w:hint="eastAsia" w:ascii="宋体" w:hAnsi="宋体" w:eastAsia="宋体" w:cs="宋体"/>
                <w:i/>
                <w:iCs/>
                <w:color w:val="auto"/>
                <w:sz w:val="24"/>
                <w:szCs w:val="24"/>
                <w:highlight w:val="none"/>
                <w:u w:val="none"/>
              </w:rPr>
              <w:t xml:space="preserve">全额</w:t>
            </w:r>
            <w:r>
              <w:rPr>
                <w:rFonts w:hint="eastAsia" w:ascii="宋体" w:hAnsi="宋体" w:cs="宋体"/>
                <w:i/>
                <w:iCs/>
                <w:color w:val="auto"/>
                <w:sz w:val="24"/>
                <w:szCs w:val="24"/>
                <w:highlight w:val="none"/>
                <w:u w:val="none"/>
              </w:rPr>
              <w:t xml:space="preserve">支付剩余项目款项。</w:t>
            </w:r>
            <w:r/>
          </w:p>
          <w:p>
            <w:pPr>
              <w:spacing w:line="450" w:lineRule="exact"/>
              <w:rPr>
                <w:bCs/>
                <w:i/>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none"/>
              </w:rPr>
              <w:t xml:space="preserve">注：上述款项支付时，</w:t>
            </w:r>
            <w:r>
              <w:rPr>
                <w:rFonts w:hint="eastAsia" w:ascii="宋体" w:hAnsi="宋体" w:cs="宋体"/>
                <w:i/>
                <w:iCs/>
                <w:color w:val="auto"/>
                <w:sz w:val="24"/>
                <w:szCs w:val="24"/>
                <w:highlight w:val="none"/>
                <w:u w:val="none"/>
              </w:rPr>
              <w:t xml:space="preserve">供应商</w:t>
            </w:r>
            <w:r>
              <w:rPr>
                <w:rFonts w:hint="eastAsia" w:ascii="宋体" w:hAnsi="宋体" w:eastAsia="宋体" w:cs="宋体"/>
                <w:i/>
                <w:iCs/>
                <w:color w:val="auto"/>
                <w:sz w:val="24"/>
                <w:szCs w:val="24"/>
                <w:highlight w:val="none"/>
                <w:u w:val="none"/>
              </w:rPr>
              <w:t xml:space="preserve">必须先向</w:t>
            </w:r>
            <w:r>
              <w:rPr>
                <w:rFonts w:hint="eastAsia" w:ascii="宋体" w:hAnsi="宋体" w:cs="宋体"/>
                <w:i/>
                <w:iCs/>
                <w:color w:val="auto"/>
                <w:sz w:val="24"/>
                <w:szCs w:val="24"/>
                <w:highlight w:val="none"/>
                <w:u w:val="none"/>
              </w:rPr>
              <w:t xml:space="preserve">采购人</w:t>
            </w:r>
            <w:r>
              <w:rPr>
                <w:rFonts w:hint="eastAsia" w:ascii="宋体" w:hAnsi="宋体" w:eastAsia="宋体" w:cs="宋体"/>
                <w:i/>
                <w:iCs/>
                <w:color w:val="auto"/>
                <w:sz w:val="24"/>
                <w:szCs w:val="24"/>
                <w:highlight w:val="none"/>
                <w:u w:val="none"/>
              </w:rPr>
              <w:t xml:space="preserve">提供符合税法的等额正规发票，否则迟延付款的责任由</w:t>
            </w:r>
            <w:r>
              <w:rPr>
                <w:rFonts w:hint="eastAsia" w:ascii="宋体" w:hAnsi="宋体" w:cs="宋体"/>
                <w:i/>
                <w:iCs/>
                <w:color w:val="auto"/>
                <w:sz w:val="24"/>
                <w:szCs w:val="24"/>
                <w:highlight w:val="none"/>
                <w:u w:val="none"/>
              </w:rPr>
              <w:t xml:space="preserve">供应商</w:t>
            </w:r>
            <w:r>
              <w:rPr>
                <w:rFonts w:hint="eastAsia" w:ascii="宋体" w:hAnsi="宋体" w:eastAsia="宋体" w:cs="宋体"/>
                <w:i/>
                <w:iCs/>
                <w:color w:val="auto"/>
                <w:sz w:val="24"/>
                <w:szCs w:val="24"/>
                <w:highlight w:val="none"/>
                <w:u w:val="none"/>
              </w:rPr>
              <w:t xml:space="preserve">自行承担。采购人对满足合同约定支付条件的项目自收到发票后 10个工作日内将资金支付到约定的供应商账户（以发票开具日期计算）。</w:t>
            </w:r>
            <w:r/>
          </w:p>
        </w:tc>
      </w:tr>
      <w:tr>
        <w:trPr>
          <w:jc w:val="center"/>
          <w:trHeight w:val="754"/>
        </w:trPr>
        <w:tc>
          <w:tcPr>
            <w:tcW w:w="809" w:type="dxa"/>
            <w:vAlign w:val="center"/>
            <w:textDirection w:val="lrTb"/>
            <w:noWrap w:val="false"/>
          </w:tcPr>
          <w:p>
            <w:pPr>
              <w:jc w:val="center"/>
              <w:spacing w:line="450" w:lineRule="exact"/>
              <w:rPr>
                <w:color w:val="auto"/>
                <w:sz w:val="24"/>
                <w:szCs w:val="24"/>
                <w:highlight w:val="none"/>
              </w:rPr>
            </w:pPr>
            <w:r>
              <w:rPr>
                <w:rFonts w:hint="eastAsia"/>
                <w:color w:val="auto"/>
                <w:sz w:val="24"/>
                <w:szCs w:val="24"/>
                <w:highlight w:val="none"/>
              </w:rPr>
              <w:t xml:space="preserve">3</w:t>
            </w:r>
            <w:r/>
          </w:p>
        </w:tc>
        <w:tc>
          <w:tcPr>
            <w:tcW w:w="9314" w:type="dxa"/>
            <w:textDirection w:val="lrTb"/>
            <w:noWrap w:val="false"/>
          </w:tcPr>
          <w:p>
            <w:pPr>
              <w:spacing w:line="450" w:lineRule="exact"/>
              <w:rPr>
                <w:rFonts w:hint="eastAsia" w:ascii="宋体" w:hAnsi="宋体" w:cs="宋体"/>
                <w:i/>
                <w:iCs/>
                <w:color w:val="auto"/>
                <w:sz w:val="24"/>
                <w:highlight w:val="none"/>
                <w:u w:val="single"/>
              </w:rPr>
            </w:pPr>
            <w:r>
              <w:rPr>
                <w:rFonts w:hint="eastAsia" w:ascii="宋体" w:hAnsi="宋体" w:cs="宋体"/>
                <w:b/>
                <w:bCs/>
                <w:color w:val="auto"/>
                <w:sz w:val="24"/>
                <w:szCs w:val="24"/>
                <w:highlight w:val="none"/>
              </w:rPr>
              <w:t xml:space="preserve">★</w:t>
            </w:r>
            <w:r>
              <w:rPr>
                <w:rFonts w:hint="eastAsia" w:ascii="宋体" w:hAnsi="宋体" w:cs="宋体"/>
                <w:i/>
                <w:iCs/>
                <w:color w:val="auto"/>
                <w:sz w:val="24"/>
                <w:szCs w:val="24"/>
                <w:highlight w:val="none"/>
                <w:u w:val="single"/>
              </w:rPr>
              <w:t xml:space="preserve">结算：</w:t>
            </w:r>
            <w:r>
              <w:rPr>
                <w:rFonts w:hint="eastAsia" w:ascii="宋体" w:hAnsi="宋体" w:cs="宋体"/>
                <w:i/>
                <w:iCs/>
                <w:color w:val="auto"/>
                <w:sz w:val="24"/>
                <w:highlight w:val="none"/>
                <w:u w:val="single"/>
              </w:rPr>
              <w:t xml:space="preserve">结算以实际服务期限</w:t>
            </w:r>
            <w:r>
              <w:rPr>
                <w:rFonts w:hint="eastAsia" w:ascii="宋体" w:hAnsi="宋体" w:cs="宋体"/>
                <w:i/>
                <w:iCs/>
                <w:color w:val="auto"/>
                <w:sz w:val="24"/>
                <w:highlight w:val="none"/>
                <w:u w:val="single"/>
                <w:lang w:val="en-US" w:eastAsia="zh-CN"/>
              </w:rPr>
              <w:t xml:space="preserve">和打捞量</w:t>
            </w:r>
            <w:r>
              <w:rPr>
                <w:rFonts w:hint="eastAsia" w:ascii="宋体" w:hAnsi="宋体" w:cs="宋体"/>
                <w:i/>
                <w:iCs/>
                <w:color w:val="auto"/>
                <w:sz w:val="24"/>
                <w:highlight w:val="none"/>
                <w:u w:val="single"/>
              </w:rPr>
              <w:t xml:space="preserve">为准（以甲方确认时间为准），项目服务期限起算时间以驳船到达甲方指定海域并开展工作日期的当日起算；项目服务期限终止时间以驳船完成最后一航次浒苔处置任务</w:t>
            </w:r>
            <w:r>
              <w:rPr>
                <w:rFonts w:hint="eastAsia" w:ascii="宋体" w:hAnsi="宋体" w:cs="宋体"/>
                <w:i/>
                <w:iCs/>
                <w:color w:val="auto"/>
                <w:spacing w:val="-6"/>
                <w:sz w:val="24"/>
                <w:highlight w:val="none"/>
                <w:u w:val="single"/>
              </w:rPr>
              <w:t xml:space="preserve">，</w:t>
            </w:r>
            <w:r>
              <w:rPr>
                <w:rFonts w:hint="eastAsia" w:ascii="宋体" w:hAnsi="宋体" w:cs="宋体"/>
                <w:i/>
                <w:iCs/>
                <w:color w:val="auto"/>
                <w:spacing w:val="-6"/>
                <w:sz w:val="24"/>
                <w:highlight w:val="none"/>
                <w:u w:val="single"/>
                <w:lang w:val="en-US" w:eastAsia="zh-CN"/>
              </w:rPr>
              <w:t xml:space="preserve">上级部门发布停止打捞通知</w:t>
            </w:r>
            <w:r>
              <w:rPr>
                <w:rFonts w:hint="eastAsia" w:ascii="宋体" w:hAnsi="宋体" w:cs="宋体"/>
                <w:i/>
                <w:iCs/>
                <w:color w:val="auto"/>
                <w:spacing w:val="-6"/>
                <w:sz w:val="24"/>
                <w:highlight w:val="none"/>
                <w:u w:val="single"/>
              </w:rPr>
              <w:t xml:space="preserve">所载日期为准。</w:t>
            </w:r>
            <w:r/>
          </w:p>
          <w:p>
            <w:pPr>
              <w:ind w:firstLine="480"/>
              <w:spacing w:line="450" w:lineRule="exact"/>
              <w:rPr>
                <w:rFonts w:hint="eastAsia" w:ascii="宋体" w:hAnsi="宋体" w:cs="宋体"/>
                <w:i/>
                <w:iCs/>
                <w:color w:val="auto"/>
                <w:sz w:val="24"/>
                <w:szCs w:val="24"/>
                <w:highlight w:val="none"/>
                <w:u w:val="single"/>
              </w:rPr>
            </w:pPr>
            <w:r>
              <w:rPr>
                <w:rFonts w:hint="eastAsia" w:ascii="宋体" w:hAnsi="宋体"/>
                <w:i/>
                <w:iCs/>
                <w:color w:val="auto"/>
                <w:sz w:val="24"/>
                <w:highlight w:val="none"/>
                <w:u w:val="single"/>
              </w:rPr>
              <w:t xml:space="preserve">最终结算金额不超过预算金额的按实际金额支付，超过预算金额的按预算金额支付。</w:t>
            </w:r>
            <w:r/>
          </w:p>
        </w:tc>
      </w:tr>
    </w:tbl>
    <w:p>
      <w:pPr>
        <w:spacing w:line="45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一、采购需求</w:t>
      </w:r>
      <w:r/>
    </w:p>
    <w:p>
      <w:pPr>
        <w:ind w:firstLine="480"/>
        <w:spacing w:line="45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1.大型驳船具备储运、冷藏保鲜等功能，能够从事浒苔转运相关工作;2.具备浒苔自动化打捞功能，配备相关自动化打捞设备从事浒苔打捞工作。</w:t>
      </w:r>
      <w:r/>
    </w:p>
    <w:p>
      <w:pPr>
        <w:spacing w:line="45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二、服务技术要求</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color w:val="auto"/>
          <w:spacing w:val="2"/>
          <w:sz w:val="24"/>
          <w:szCs w:val="24"/>
          <w:highlight w:val="none"/>
        </w:rPr>
        <w:t xml:space="preserve">1</w:t>
      </w:r>
      <w:r>
        <w:rPr>
          <w:rFonts w:hint="eastAsia" w:ascii="宋体" w:hAnsi="宋体" w:cs="宋体"/>
          <w:color w:val="auto"/>
          <w:spacing w:val="2"/>
          <w:sz w:val="24"/>
          <w:szCs w:val="24"/>
          <w:highlight w:val="none"/>
        </w:rPr>
        <w:t xml:space="preserve">.</w:t>
      </w:r>
      <w:r>
        <w:rPr>
          <w:rFonts w:ascii="宋体" w:hAnsi="宋体" w:cs="宋体"/>
          <w:color w:val="auto"/>
          <w:spacing w:val="2"/>
          <w:sz w:val="24"/>
          <w:szCs w:val="24"/>
          <w:highlight w:val="none"/>
        </w:rPr>
        <w:t xml:space="preserve">基本要求</w:t>
      </w:r>
      <w:r/>
    </w:p>
    <w:p>
      <w:pPr>
        <w:ind w:right="62" w:firstLine="428"/>
        <w:spacing w:before="78" w:line="450" w:lineRule="exact"/>
        <w:rPr>
          <w:rFonts w:hint="eastAsia" w:ascii="宋体" w:hAnsi="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合法建造、证书证件齐全</w:t>
      </w:r>
      <w:r>
        <w:rPr>
          <w:rFonts w:hint="eastAsia" w:ascii="宋体" w:hAnsi="宋体" w:cs="宋体"/>
          <w:color w:val="auto"/>
          <w:spacing w:val="2"/>
          <w:sz w:val="24"/>
          <w:szCs w:val="24"/>
          <w:highlight w:val="none"/>
        </w:rPr>
        <w:t xml:space="preserve">且</w:t>
      </w:r>
      <w:r>
        <w:rPr>
          <w:rFonts w:ascii="宋体" w:hAnsi="宋体" w:cs="宋体"/>
          <w:color w:val="auto"/>
          <w:spacing w:val="2"/>
          <w:sz w:val="24"/>
          <w:szCs w:val="24"/>
          <w:highlight w:val="none"/>
        </w:rPr>
        <w:t xml:space="preserve">有效，符合交通、海事等部门要求，船上人员符合海事等部门规定的配员要求，通信（卫星宽带）、船位监测设备完善并正常运行，要有一定的作业经验，有充足、安全的浒苔堆放腐熟空间，配置检验合格的装卸投放机械、设备并配备合格的操作人员</w:t>
      </w:r>
      <w:r>
        <w:rPr>
          <w:rFonts w:hint="eastAsia" w:ascii="宋体" w:hAnsi="宋体" w:cs="宋体"/>
          <w:color w:val="auto"/>
          <w:spacing w:val="2"/>
          <w:sz w:val="24"/>
          <w:szCs w:val="24"/>
          <w:highlight w:val="none"/>
          <w:lang w:eastAsia="zh-CN"/>
        </w:rPr>
        <w:t xml:space="preserve">。</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2"/>
          <w:sz w:val="24"/>
          <w:szCs w:val="24"/>
          <w:highlight w:val="none"/>
          <w:lang w:val="en-US" w:eastAsia="zh-CN"/>
        </w:rPr>
        <w:t xml:space="preserve">大型驳船应具备储运、冷藏保鲜等功能，能够从事浒苔转运相关工作且具备浒苔自动化打捞功能，</w:t>
      </w:r>
      <w:r>
        <w:rPr>
          <w:rFonts w:hint="eastAsia" w:ascii="宋体" w:hAnsi="宋体" w:cs="宋体"/>
          <w:color w:val="auto"/>
          <w:spacing w:val="2"/>
          <w:sz w:val="24"/>
          <w:szCs w:val="24"/>
          <w:highlight w:val="none"/>
        </w:rPr>
        <w:t xml:space="preserve">配备相关自动化打捞设备，</w:t>
      </w:r>
      <w:r>
        <w:rPr>
          <w:rFonts w:hint="eastAsia" w:ascii="宋体" w:hAnsi="宋体" w:cs="宋体"/>
          <w:color w:val="auto"/>
          <w:spacing w:val="2"/>
          <w:sz w:val="24"/>
          <w:szCs w:val="24"/>
          <w:highlight w:val="none"/>
          <w:lang w:val="en-US" w:eastAsia="zh-CN"/>
        </w:rPr>
        <w:t xml:space="preserve">配备海面链网式打捞输送设备、接货斗、食品带接货输送设备、</w:t>
      </w:r>
      <w:r>
        <w:rPr>
          <w:rFonts w:hint="eastAsia" w:ascii="宋体" w:hAnsi="宋体" w:cs="宋体"/>
          <w:color w:val="auto"/>
          <w:spacing w:val="2"/>
          <w:sz w:val="24"/>
          <w:szCs w:val="24"/>
          <w:highlight w:val="none"/>
        </w:rPr>
        <w:t xml:space="preserve">浒苔吊装、接驳、投放等所需的其他机械、设备（装卸设备、吊装设备、称重设备、靠泊设备）等。</w:t>
      </w:r>
      <w:r/>
    </w:p>
    <w:p>
      <w:pPr>
        <w:ind w:left="0" w:right="62" w:firstLine="488"/>
        <w:jc w:val="both"/>
        <w:keepLines w:val="0"/>
        <w:keepNext w:val="0"/>
        <w:spacing w:before="78" w:beforeAutospacing="0" w:after="0" w:afterAutospacing="0" w:line="450" w:lineRule="exact"/>
        <w:widowControl w:val="off"/>
        <w:rPr>
          <w:rFonts w:hint="eastAsia"/>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2"/>
          <w:sz w:val="24"/>
          <w:szCs w:val="24"/>
          <w:highlight w:val="none"/>
          <w:lang w:val="en-US" w:eastAsia="zh-CN" w:bidi="ar"/>
        </w:rPr>
        <w:t xml:space="preserve">设备产量应满足1套设备每小时打捞浒苔35吨左右（实际打捞效率根据海域现场情况确定）。</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color w:val="auto"/>
          <w:spacing w:val="2"/>
          <w:sz w:val="24"/>
          <w:szCs w:val="24"/>
          <w:highlight w:val="none"/>
        </w:rPr>
        <w:t xml:space="preserve">3.2 </w:t>
      </w:r>
      <w:r>
        <w:rPr>
          <w:rFonts w:hint="eastAsia" w:ascii="宋体" w:hAnsi="宋体" w:cs="宋体"/>
          <w:color w:val="auto"/>
          <w:spacing w:val="2"/>
          <w:sz w:val="24"/>
          <w:szCs w:val="24"/>
          <w:highlight w:val="none"/>
        </w:rPr>
        <w:t xml:space="preserve">服务技术要求</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（1）配备办公及生活区满足第三方监管、计量等单位工作人员办公及休息室。</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（2）驳船及浒苔处置相关机械、设备必须运转正常，保障驳船及浒苔处置设备、性能良好，要求提前做好易损备件、常用备件等相关备件的库存工作，务必确保项目执行期间能够满足每日24小时作业条件。</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（3）配合第三方监管单位在驳船上安装视频监控及存储设备，负担监控数据回传卫星通信流量费用，支持现场指挥部现场在线查看作业状态，并保障良好运行。</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（4）除应根据海事部门要求足额配齐船员外，还应根据浒苔处置工作需要配备吊装、卸载、解包、称重计量、现场安全监管等环节人员，要有充足的人员配备和保障能力，确保能够满足每日 24 小时作业要求。</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（5）职务船员和船上作业人员等船上所有人员必须有人身意外伤害保险。</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（6）服务时间内供应方做好随时工作准备，并保证做到每天24小时随时响应服务，坚决服从采购方的调度指挥，不得自行改变工作性质与航区。</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（7）严格落实安全生产主体责任，落实安全作业防范措施，船上人员必须佩戴安全帽，穿着救生衣、闪光衣等必要防护装备，严格落实安全作业规程，确保处置过程安全操作，有序实施。</w:t>
      </w:r>
      <w:r/>
    </w:p>
    <w:p>
      <w:pPr>
        <w:ind w:right="62" w:firstLine="428"/>
        <w:spacing w:before="78" w:line="450" w:lineRule="exact"/>
        <w:rPr>
          <w:rFonts w:hint="eastAsia" w:ascii="宋体" w:hAnsi="宋体" w:cs="宋体"/>
          <w:color w:val="auto"/>
          <w:spacing w:val="2"/>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highlight w:val="none"/>
        </w:rPr>
        <w:t xml:space="preserve">（8）全程记录浒苔投放处置信息，包含但不限于船舶航迹、投放作业起止时间、投放浒苔重量、投放位置等。</w:t>
      </w:r>
      <w:r/>
    </w:p>
    <w:p>
      <w:pPr>
        <w:spacing w:line="450" w:lineRule="exact"/>
        <w:rPr>
          <w:rFonts w:hint="eastAsia" w:ascii="宋体" w:hAnsi="宋体" w:eastAsia="宋体" w:cs="宋体"/>
          <w:b/>
          <w:color w:val="auto"/>
          <w:sz w:val="24"/>
          <w:szCs w:val="24"/>
          <w:highlight w:val="none"/>
        </w:rPr>
      </w:pPr>
      <w:r>
        <w:rPr>
          <w:rFonts w:ascii="宋体" w:hAnsi="宋体" w:cs="宋体"/>
          <w:color w:val="auto"/>
          <w:spacing w:val="2"/>
          <w:sz w:val="24"/>
          <w:szCs w:val="24"/>
          <w:highlight w:val="none"/>
        </w:rPr>
        <w:t xml:space="preserve">（9）随时向采购方报告工作状态，并就浒苔处置工作向采购方提出合理</w:t>
      </w:r>
      <w:r>
        <w:rPr>
          <w:rFonts w:ascii="宋体" w:hAnsi="宋体" w:eastAsia="宋体" w:cs="宋体"/>
          <w:color w:val="auto"/>
          <w:spacing w:val="2"/>
          <w:sz w:val="24"/>
          <w:szCs w:val="24"/>
          <w:highlight w:val="none"/>
        </w:rPr>
        <w:t xml:space="preserve">化建</w:t>
      </w:r>
      <w:r>
        <w:rPr>
          <w:rFonts w:hint="eastAsia" w:ascii="宋体" w:hAnsi="宋体" w:eastAsia="宋体" w:cs="宋体"/>
          <w:color w:val="auto"/>
          <w:spacing w:val="2"/>
          <w:sz w:val="24"/>
          <w:szCs w:val="24"/>
          <w:highlight w:val="none"/>
        </w:rPr>
        <w:t xml:space="preserve">议。</w:t>
      </w:r>
      <w:r/>
    </w:p>
    <w:p>
      <w:pPr>
        <w:spacing w:line="450" w:lineRule="exac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.其他服务要求</w:t>
      </w:r>
      <w:r/>
    </w:p>
    <w:p>
      <w:pPr>
        <w:ind w:firstLine="480"/>
        <w:spacing w:line="45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1.服务地点：采购人指定地点。</w:t>
      </w:r>
      <w:r/>
    </w:p>
    <w:p>
      <w:pPr>
        <w:ind w:firstLine="480"/>
        <w:spacing w:line="450" w:lineRule="exact"/>
        <w:rPr>
          <w:color w:val="auto"/>
          <w:highlight w:val="none"/>
        </w:rPr>
      </w:pPr>
      <w:r>
        <w:rPr>
          <w:rFonts w:hint="eastAsia" w:ascii="宋体" w:hAnsi="宋体" w:cs="宋体"/>
          <w:bCs/>
          <w:color w:val="auto"/>
          <w:sz w:val="24"/>
          <w:highlight w:val="none"/>
        </w:rPr>
        <w:t xml:space="preserve">2.履行方式：采购人指定方式。</w:t>
      </w:r>
      <w:r/>
    </w:p>
    <w:p>
      <w:pPr>
        <w:ind w:firstLine="480"/>
        <w:spacing w:line="45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3.成交供应商按采购人要求，按时完成工作内容，必要时必须按照采购人要求在规定时间、指定地点完成相关任务，且采购人不支付额外费用。</w:t>
      </w:r>
      <w:r/>
    </w:p>
    <w:p>
      <w:pPr>
        <w:ind w:firstLine="480"/>
        <w:spacing w:line="45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成交供应商在项目实施过程中，必须严格遵守采购人的相关管理制度，并按照要求不得有泄密、人为损坏采购人设备及工作成果、不遵守工作纪律等不法行为，由此造成的一切后果及法律责任由成交供应商承担。</w:t>
      </w:r>
      <w:r/>
    </w:p>
    <w:p>
      <w:pPr>
        <w:ind w:firstLine="480"/>
        <w:spacing w:line="45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成交供应商必须严格按照采购人要求实施项目，并对采购人提出的需求及时响应，如有工作进度缓慢、项目成果屡次不符合要求（两次以上）、不能按时完成任务、不遵守工作纪律等情况，采购人有权要求成交供应商进行及时整改，情节严重的，将予以罚款。</w:t>
      </w:r>
      <w:r/>
    </w:p>
    <w:p>
      <w:pPr>
        <w:ind w:firstLine="480"/>
        <w:spacing w:line="45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6.本项目在项目实施周期内开展技术支持的过程中，发生的人工成本（包括培训费用、设备费用以及相关差旅费用）由成交供应商承担。</w:t>
      </w:r>
      <w:r/>
    </w:p>
    <w:p>
      <w:pPr>
        <w:ind w:firstLine="480"/>
        <w:spacing w:line="45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7.实际项目执行过程中，成交供应商违反上述规定的，采购人有权要求成交供应商退回项目经费，由此带来的一切后果由成交供应商承担。</w:t>
      </w:r>
      <w:r/>
    </w:p>
    <w:p>
      <w:pPr>
        <w:ind w:firstLine="480"/>
        <w:spacing w:line="450" w:lineRule="exact"/>
        <w:rPr>
          <w:rFonts w:hint="eastAsia" w:ascii="黑体" w:hAnsi="黑体" w:eastAsia="黑体"/>
          <w:b/>
          <w:color w:val="auto"/>
          <w:sz w:val="24"/>
          <w:highlight w:val="none"/>
        </w:rPr>
      </w:pPr>
      <w:r>
        <w:rPr>
          <w:rFonts w:hint="eastAsia" w:ascii="宋体" w:hAnsi="宋体" w:cs="宋体"/>
          <w:bCs/>
          <w:color w:val="auto"/>
          <w:sz w:val="24"/>
          <w:highlight w:val="none"/>
        </w:rPr>
        <w:t xml:space="preserve">8.本项目不得转包或分包，若发现成交供应商转包或分包，采购人有权立即解除合同，并要求成交供应商赔偿采购人工期等方面的损失。</w:t>
      </w:r>
      <w:r/>
    </w:p>
    <w:p>
      <w:pPr>
        <w:spacing w:line="450" w:lineRule="exact"/>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spacing w:line="45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本项目要求配备项目负责人1人，项目组人员配备最少2人。</w:t>
      </w:r>
      <w:r/>
    </w:p>
    <w:p>
      <w:pPr>
        <w:spacing w:line="450" w:lineRule="exact"/>
        <w:rPr>
          <w:rFonts w:hint="eastAsia" w:ascii="宋体" w:hAnsi="宋体" w:cs="宋体"/>
          <w:i/>
          <w:iCs/>
          <w:color w:val="auto"/>
          <w:sz w:val="24"/>
          <w:highlight w:val="none"/>
          <w:u w:val="single"/>
        </w:rPr>
      </w:pPr>
      <w:r>
        <w:rPr>
          <w:rFonts w:hint="eastAsia" w:ascii="黑体" w:hAnsi="黑体" w:eastAsia="黑体"/>
          <w:b/>
          <w:i/>
          <w:iCs/>
          <w:color w:val="auto"/>
          <w:sz w:val="24"/>
          <w:highlight w:val="none"/>
          <w:u w:val="single"/>
          <w:lang w:val="en-US" w:eastAsia="zh-CN"/>
        </w:rPr>
        <w:t xml:space="preserve">五</w:t>
      </w:r>
      <w:r>
        <w:rPr>
          <w:rFonts w:hint="eastAsia" w:ascii="黑体" w:hAnsi="黑体" w:eastAsia="黑体"/>
          <w:b/>
          <w:i/>
          <w:iCs/>
          <w:color w:val="auto"/>
          <w:sz w:val="24"/>
          <w:highlight w:val="none"/>
          <w:u w:val="single"/>
        </w:rPr>
        <w:t xml:space="preserve">、服务期限：</w:t>
      </w:r>
      <w:r>
        <w:rPr>
          <w:rFonts w:hint="eastAsia" w:ascii="宋体" w:hAnsi="宋体" w:cs="宋体"/>
          <w:i/>
          <w:iCs/>
          <w:color w:val="auto"/>
          <w:sz w:val="24"/>
          <w:highlight w:val="none"/>
          <w:u w:val="single"/>
        </w:rPr>
        <w:t xml:space="preserve">按照采购人及上级主管部门要求，具体时间以实际服务天数为准。</w:t>
      </w:r>
      <w:r/>
    </w:p>
    <w:p>
      <w:pPr>
        <w:spacing w:line="450" w:lineRule="exact"/>
        <w:rPr>
          <w:rFonts w:hint="eastAsia" w:ascii="宋体" w:hAnsi="宋体" w:cs="宋体"/>
          <w:i/>
          <w:iCs/>
          <w:color w:val="auto"/>
          <w:sz w:val="24"/>
          <w:highlight w:val="none"/>
          <w:u w:val="single"/>
        </w:rPr>
      </w:pPr>
      <w:r>
        <w:rPr>
          <w:rFonts w:hint="eastAsia" w:ascii="黑体" w:hAnsi="黑体" w:eastAsia="黑体"/>
          <w:b/>
          <w:i/>
          <w:iCs/>
          <w:color w:val="auto"/>
          <w:sz w:val="24"/>
          <w:highlight w:val="none"/>
          <w:u w:val="single"/>
          <w:lang w:val="en-US" w:eastAsia="zh-CN"/>
        </w:rPr>
        <w:t xml:space="preserve">六</w:t>
      </w:r>
      <w:r>
        <w:rPr>
          <w:rFonts w:hint="eastAsia" w:ascii="黑体" w:hAnsi="黑体" w:eastAsia="黑体"/>
          <w:b/>
          <w:i/>
          <w:iCs/>
          <w:color w:val="auto"/>
          <w:sz w:val="24"/>
          <w:highlight w:val="none"/>
          <w:u w:val="single"/>
        </w:rPr>
        <w:t xml:space="preserve">、结算：</w:t>
      </w:r>
      <w:r>
        <w:rPr>
          <w:rFonts w:hint="eastAsia" w:ascii="宋体" w:hAnsi="宋体" w:cs="宋体"/>
          <w:i/>
          <w:iCs/>
          <w:color w:val="auto"/>
          <w:sz w:val="24"/>
          <w:highlight w:val="none"/>
          <w:u w:val="single"/>
        </w:rPr>
        <w:t xml:space="preserve">结算以实际服务期限</w:t>
      </w:r>
      <w:r>
        <w:rPr>
          <w:rFonts w:hint="eastAsia" w:ascii="宋体" w:hAnsi="宋体" w:cs="宋体"/>
          <w:i/>
          <w:iCs/>
          <w:color w:val="auto"/>
          <w:sz w:val="24"/>
          <w:highlight w:val="none"/>
          <w:u w:val="single"/>
          <w:lang w:val="en-US" w:eastAsia="zh-CN"/>
        </w:rPr>
        <w:t xml:space="preserve">和打捞量</w:t>
      </w:r>
      <w:r>
        <w:rPr>
          <w:rFonts w:hint="eastAsia" w:ascii="宋体" w:hAnsi="宋体" w:cs="宋体"/>
          <w:i/>
          <w:iCs/>
          <w:color w:val="auto"/>
          <w:sz w:val="24"/>
          <w:highlight w:val="none"/>
          <w:u w:val="single"/>
        </w:rPr>
        <w:t xml:space="preserve">为准（以甲方确认时间为准），项目服务期限起算时间以驳船到达甲方指定海域并开展工作日期的当日起算；项目服务期限终止时间以驳船完成最后一航次浒苔处置任务，</w:t>
      </w:r>
      <w:r>
        <w:rPr>
          <w:rFonts w:hint="eastAsia" w:ascii="宋体" w:hAnsi="宋体" w:cs="宋体"/>
          <w:i/>
          <w:iCs/>
          <w:color w:val="auto"/>
          <w:sz w:val="24"/>
          <w:highlight w:val="none"/>
          <w:u w:val="single"/>
          <w:lang w:val="en-US" w:eastAsia="zh-CN"/>
        </w:rPr>
        <w:t xml:space="preserve">上级部门发布停止打捞通知</w:t>
      </w:r>
      <w:r>
        <w:rPr>
          <w:rFonts w:hint="eastAsia" w:ascii="宋体" w:hAnsi="宋体" w:cs="宋体"/>
          <w:i/>
          <w:iCs/>
          <w:color w:val="auto"/>
          <w:sz w:val="24"/>
          <w:highlight w:val="none"/>
          <w:u w:val="single"/>
        </w:rPr>
        <w:t xml:space="preserve">所载日期为准。</w:t>
      </w:r>
      <w:r/>
    </w:p>
    <w:p>
      <w:pPr>
        <w:spacing w:line="450" w:lineRule="exact"/>
        <w:rPr>
          <w:rFonts w:hint="eastAsia" w:ascii="宋体" w:hAnsi="宋体" w:cs="宋体"/>
          <w:color w:val="auto"/>
          <w:sz w:val="24"/>
          <w:highlight w:val="none"/>
        </w:rPr>
      </w:pPr>
      <w:r>
        <w:rPr>
          <w:rFonts w:hint="eastAsia" w:ascii="宋体" w:hAnsi="宋体"/>
          <w:i/>
          <w:iCs/>
          <w:color w:val="auto"/>
          <w:sz w:val="24"/>
          <w:highlight w:val="none"/>
          <w:u w:val="single"/>
        </w:rPr>
        <w:t xml:space="preserve">最终结算金额不超过预算金额的按实际金额支付，超过预算金额的按预算金额支付。</w:t>
      </w:r>
      <w:r/>
    </w:p>
    <w:p>
      <w:pPr>
        <w:spacing w:line="450" w:lineRule="exact"/>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七</w:t>
      </w:r>
      <w:r>
        <w:rPr>
          <w:rFonts w:hint="eastAsia" w:ascii="黑体" w:hAnsi="黑体" w:eastAsia="黑体"/>
          <w:b/>
          <w:color w:val="auto"/>
          <w:sz w:val="24"/>
          <w:highlight w:val="none"/>
        </w:rPr>
        <w:t xml:space="preserve">、服务标准：</w:t>
      </w:r>
      <w:r/>
    </w:p>
    <w:p>
      <w:pPr>
        <w:ind w:firstLine="480"/>
        <w:jc w:val="left"/>
        <w:spacing w:line="450" w:lineRule="exact"/>
        <w:rPr>
          <w:rFonts w:hint="eastAsia" w:ascii="黑体" w:hAnsi="黑体" w:eastAsia="黑体"/>
          <w:b/>
          <w:color w:val="auto"/>
          <w:sz w:val="24"/>
          <w:highlight w:val="none"/>
        </w:rPr>
      </w:pPr>
      <w:r>
        <w:rPr>
          <w:rFonts w:hint="eastAsia" w:ascii="宋体" w:hAnsi="宋体" w:cs="宋体"/>
          <w:color w:val="auto"/>
          <w:sz w:val="24"/>
          <w:szCs w:val="24"/>
          <w:highlight w:val="none"/>
        </w:rPr>
        <w:t xml:space="preserve">有国家标准的执行国家标准；无国家标准的执行行业标准；无行业标准的执行地方标准；无地方标准的执行企业标准。</w:t>
      </w:r>
      <w:r/>
    </w:p>
    <w:p>
      <w:pPr>
        <w:spacing w:line="450" w:lineRule="exact"/>
        <w:rPr>
          <w:rFonts w:hint="eastAsia" w:ascii="黑体" w:hAnsi="黑体" w:eastAsia="黑体"/>
          <w:b/>
          <w:i/>
          <w:iCs/>
          <w:color w:val="auto"/>
          <w:sz w:val="24"/>
          <w:highlight w:val="none"/>
          <w:u w:val="single"/>
        </w:rPr>
      </w:pPr>
      <w:r>
        <w:rPr>
          <w:rFonts w:hint="eastAsia" w:ascii="黑体" w:hAnsi="黑体" w:eastAsia="黑体"/>
          <w:b/>
          <w:i/>
          <w:iCs/>
          <w:color w:val="auto"/>
          <w:sz w:val="24"/>
          <w:highlight w:val="none"/>
          <w:u w:val="single"/>
          <w:lang w:val="en-US" w:eastAsia="zh-CN"/>
        </w:rPr>
        <w:t xml:space="preserve">八</w:t>
      </w:r>
      <w:r>
        <w:rPr>
          <w:rFonts w:hint="eastAsia" w:ascii="黑体" w:hAnsi="黑体" w:eastAsia="黑体"/>
          <w:b/>
          <w:i/>
          <w:iCs/>
          <w:color w:val="auto"/>
          <w:sz w:val="24"/>
          <w:highlight w:val="none"/>
          <w:u w:val="single"/>
        </w:rPr>
        <w:t xml:space="preserve">、付款方式与履约保证金</w:t>
      </w:r>
      <w:r/>
    </w:p>
    <w:p>
      <w:pPr>
        <w:ind w:firstLine="480"/>
        <w:spacing w:line="450" w:lineRule="exact"/>
        <w:rPr>
          <w:i/>
          <w:iCs/>
          <w:color w:val="auto"/>
          <w:sz w:val="24"/>
          <w:highlight w:val="none"/>
          <w:u w:val="single"/>
        </w:rPr>
      </w:pPr>
      <w:r>
        <w:rPr>
          <w:rFonts w:hint="eastAsia"/>
          <w:i/>
          <w:iCs/>
          <w:color w:val="auto"/>
          <w:sz w:val="24"/>
          <w:highlight w:val="none"/>
          <w:u w:val="single"/>
        </w:rPr>
        <w:t xml:space="preserve">1、付款方式</w:t>
      </w:r>
      <w:r/>
    </w:p>
    <w:p>
      <w:pPr>
        <w:ind w:firstLine="480"/>
        <w:spacing w:line="450" w:lineRule="exact"/>
        <w:rPr>
          <w:rFonts w:hint="eastAsia" w:ascii="宋体" w:hAnsi="宋体" w:cs="宋体"/>
          <w:i/>
          <w:iCs/>
          <w:color w:val="auto"/>
          <w:sz w:val="24"/>
          <w:szCs w:val="24"/>
          <w:highlight w:val="none"/>
          <w:u w:val="none"/>
        </w:rPr>
      </w:pPr>
      <w:r>
        <w:rPr>
          <w:rFonts w:hint="eastAsia" w:ascii="宋体" w:hAnsi="宋体" w:cs="宋体"/>
          <w:i/>
          <w:iCs/>
          <w:color w:val="auto"/>
          <w:sz w:val="24"/>
          <w:szCs w:val="24"/>
          <w:highlight w:val="none"/>
          <w:u w:val="none"/>
        </w:rPr>
        <w:t xml:space="preserve">合同签订后采购人向成交供应商支付合同价款的30%为预付款。海上打捞浒苔处置工作结束，驳船处置项目经费审定后，</w:t>
      </w:r>
      <w:r>
        <w:rPr>
          <w:rFonts w:hint="eastAsia" w:ascii="宋体" w:hAnsi="宋体" w:eastAsia="宋体" w:cs="宋体"/>
          <w:i/>
          <w:iCs/>
          <w:color w:val="auto"/>
          <w:sz w:val="24"/>
          <w:szCs w:val="24"/>
          <w:highlight w:val="none"/>
          <w:u w:val="none"/>
        </w:rPr>
        <w:t xml:space="preserve">采购</w:t>
      </w:r>
      <w:r>
        <w:rPr>
          <w:rFonts w:hint="eastAsia" w:ascii="宋体" w:hAnsi="宋体" w:eastAsia="宋体" w:cs="宋体"/>
          <w:i/>
          <w:iCs/>
          <w:color w:val="auto"/>
          <w:sz w:val="24"/>
          <w:szCs w:val="24"/>
          <w:highlight w:val="none"/>
          <w:u w:val="none"/>
          <w:lang w:val="en-US" w:eastAsia="zh-CN"/>
        </w:rPr>
        <w:t xml:space="preserve">人</w:t>
      </w:r>
      <w:r>
        <w:rPr>
          <w:rFonts w:hint="eastAsia" w:ascii="宋体" w:hAnsi="宋体" w:eastAsia="宋体" w:cs="宋体"/>
          <w:i/>
          <w:iCs/>
          <w:color w:val="auto"/>
          <w:sz w:val="24"/>
          <w:szCs w:val="24"/>
          <w:highlight w:val="none"/>
          <w:u w:val="none"/>
        </w:rPr>
        <w:t xml:space="preserve">向</w:t>
      </w:r>
      <w:r>
        <w:rPr>
          <w:rFonts w:hint="eastAsia" w:ascii="宋体" w:hAnsi="宋体" w:cs="宋体"/>
          <w:i/>
          <w:iCs/>
          <w:color w:val="auto"/>
          <w:sz w:val="24"/>
          <w:szCs w:val="24"/>
          <w:highlight w:val="none"/>
          <w:u w:val="none"/>
        </w:rPr>
        <w:t xml:space="preserve">供应商</w:t>
      </w:r>
      <w:r>
        <w:rPr>
          <w:rFonts w:hint="eastAsia" w:ascii="宋体" w:hAnsi="宋体" w:eastAsia="宋体" w:cs="宋体"/>
          <w:i/>
          <w:iCs/>
          <w:color w:val="auto"/>
          <w:sz w:val="24"/>
          <w:szCs w:val="24"/>
          <w:highlight w:val="none"/>
          <w:u w:val="none"/>
        </w:rPr>
        <w:t xml:space="preserve">全额</w:t>
      </w:r>
      <w:r>
        <w:rPr>
          <w:rFonts w:hint="eastAsia" w:ascii="宋体" w:hAnsi="宋体" w:cs="宋体"/>
          <w:i/>
          <w:iCs/>
          <w:color w:val="auto"/>
          <w:sz w:val="24"/>
          <w:szCs w:val="24"/>
          <w:highlight w:val="none"/>
          <w:u w:val="none"/>
        </w:rPr>
        <w:t xml:space="preserve">支付剩余项目款项。</w:t>
      </w:r>
      <w:r/>
    </w:p>
    <w:p>
      <w:pPr>
        <w:ind w:firstLine="480"/>
        <w:spacing w:line="450" w:lineRule="exact"/>
        <w:rPr>
          <w:color w:val="auto"/>
          <w:sz w:val="24"/>
          <w:highlight w:val="none"/>
        </w:rPr>
      </w:pPr>
      <w:r>
        <w:rPr>
          <w:rFonts w:hint="eastAsia" w:ascii="宋体" w:hAnsi="宋体" w:eastAsia="宋体" w:cs="宋体"/>
          <w:i/>
          <w:iCs/>
          <w:color w:val="auto"/>
          <w:sz w:val="24"/>
          <w:szCs w:val="24"/>
          <w:highlight w:val="none"/>
          <w:u w:val="none"/>
        </w:rPr>
        <w:t xml:space="preserve">注：上述款项支付时，</w:t>
      </w:r>
      <w:r>
        <w:rPr>
          <w:rFonts w:hint="eastAsia" w:ascii="宋体" w:hAnsi="宋体" w:cs="宋体"/>
          <w:i/>
          <w:iCs/>
          <w:color w:val="auto"/>
          <w:sz w:val="24"/>
          <w:szCs w:val="24"/>
          <w:highlight w:val="none"/>
          <w:u w:val="none"/>
        </w:rPr>
        <w:t xml:space="preserve">供应商</w:t>
      </w:r>
      <w:r>
        <w:rPr>
          <w:rFonts w:hint="eastAsia" w:ascii="宋体" w:hAnsi="宋体" w:eastAsia="宋体" w:cs="宋体"/>
          <w:i/>
          <w:iCs/>
          <w:color w:val="auto"/>
          <w:sz w:val="24"/>
          <w:szCs w:val="24"/>
          <w:highlight w:val="none"/>
          <w:u w:val="none"/>
        </w:rPr>
        <w:t xml:space="preserve">必须先向</w:t>
      </w:r>
      <w:r>
        <w:rPr>
          <w:rFonts w:hint="eastAsia" w:ascii="宋体" w:hAnsi="宋体" w:cs="宋体"/>
          <w:i/>
          <w:iCs/>
          <w:color w:val="auto"/>
          <w:sz w:val="24"/>
          <w:szCs w:val="24"/>
          <w:highlight w:val="none"/>
          <w:u w:val="none"/>
        </w:rPr>
        <w:t xml:space="preserve">采购人</w:t>
      </w:r>
      <w:r>
        <w:rPr>
          <w:rFonts w:hint="eastAsia" w:ascii="宋体" w:hAnsi="宋体" w:eastAsia="宋体" w:cs="宋体"/>
          <w:i/>
          <w:iCs/>
          <w:color w:val="auto"/>
          <w:sz w:val="24"/>
          <w:szCs w:val="24"/>
          <w:highlight w:val="none"/>
          <w:u w:val="none"/>
        </w:rPr>
        <w:t xml:space="preserve">提供符合税法的等额正规发票，否则迟延付款的责任由</w:t>
      </w:r>
      <w:r>
        <w:rPr>
          <w:rFonts w:hint="eastAsia" w:ascii="宋体" w:hAnsi="宋体" w:cs="宋体"/>
          <w:i/>
          <w:iCs/>
          <w:color w:val="auto"/>
          <w:sz w:val="24"/>
          <w:szCs w:val="24"/>
          <w:highlight w:val="none"/>
          <w:u w:val="none"/>
        </w:rPr>
        <w:t xml:space="preserve">供应商</w:t>
      </w:r>
      <w:r>
        <w:rPr>
          <w:rFonts w:hint="eastAsia" w:ascii="宋体" w:hAnsi="宋体" w:eastAsia="宋体" w:cs="宋体"/>
          <w:i/>
          <w:iCs/>
          <w:color w:val="auto"/>
          <w:sz w:val="24"/>
          <w:szCs w:val="24"/>
          <w:highlight w:val="none"/>
          <w:u w:val="none"/>
        </w:rPr>
        <w:t xml:space="preserve">自行承担。采购人对满足合同约定支付条件的项目自收到发票后 10个工作日内将资金支付到约定的供应商账户（以发票开具日期计算）。</w:t>
      </w:r>
      <w:r>
        <w:rPr>
          <w:rFonts w:hint="eastAsia"/>
          <w:color w:val="auto"/>
          <w:sz w:val="24"/>
          <w:highlight w:val="none"/>
        </w:rPr>
        <w:t xml:space="preserve">2、履约保证金</w:t>
      </w:r>
      <w:r/>
    </w:p>
    <w:p>
      <w:pPr>
        <w:ind w:firstLine="480"/>
        <w:spacing w:line="450" w:lineRule="exact"/>
        <w:rPr>
          <w:color w:val="auto"/>
          <w:highlight w:val="none"/>
        </w:rPr>
      </w:pPr>
      <w:r>
        <w:rPr>
          <w:rFonts w:hint="eastAsia"/>
          <w:color w:val="auto"/>
          <w:sz w:val="24"/>
          <w:highlight w:val="none"/>
        </w:rPr>
        <w:t xml:space="preserve">本项目不收取履约保证金。</w:t>
      </w:r>
      <w:r/>
    </w:p>
    <w:p>
      <w:pPr>
        <w:spacing w:line="450" w:lineRule="exact"/>
        <w:rPr>
          <w:rFonts w:hint="eastAsia" w:ascii="黑体" w:hAnsi="黑体" w:eastAsia="黑体"/>
          <w:b/>
          <w:color w:val="auto"/>
          <w:sz w:val="24"/>
          <w:highlight w:val="none"/>
        </w:rPr>
      </w:pPr>
      <w:r>
        <w:rPr>
          <w:rFonts w:hint="eastAsia" w:ascii="黑体" w:hAnsi="黑体" w:eastAsia="黑体"/>
          <w:b/>
          <w:color w:val="auto"/>
          <w:sz w:val="24"/>
          <w:highlight w:val="none"/>
        </w:rPr>
        <w:t xml:space="preserve">九、履约验收</w:t>
      </w:r>
      <w:r/>
    </w:p>
    <w:p>
      <w:pPr>
        <w:ind w:firstLine="480"/>
        <w:spacing w:line="450" w:lineRule="exact"/>
        <w:rPr>
          <w:color w:val="auto"/>
          <w:sz w:val="24"/>
          <w:highlight w:val="none"/>
        </w:rPr>
      </w:pPr>
      <w:r>
        <w:rPr>
          <w:rFonts w:hint="eastAsia"/>
          <w:color w:val="auto"/>
          <w:sz w:val="24"/>
          <w:highlight w:val="none"/>
        </w:rPr>
        <w:t xml:space="preserve">1、履约验收</w:t>
      </w:r>
      <w:r/>
    </w:p>
    <w:p>
      <w:pPr>
        <w:ind w:firstLine="480"/>
        <w:spacing w:line="450" w:lineRule="exact"/>
        <w:rPr>
          <w:color w:val="auto"/>
          <w:sz w:val="24"/>
          <w:highlight w:val="none"/>
        </w:rPr>
      </w:pPr>
      <w:r>
        <w:rPr>
          <w:rFonts w:hint="eastAsia"/>
          <w:color w:val="auto"/>
          <w:sz w:val="24"/>
          <w:highlight w:val="none"/>
        </w:rPr>
        <w:t xml:space="preserve">验收主体：采购人；</w:t>
      </w:r>
      <w:r/>
    </w:p>
    <w:p>
      <w:pPr>
        <w:ind w:firstLine="480"/>
        <w:spacing w:line="450" w:lineRule="exact"/>
        <w:rPr>
          <w:color w:val="auto"/>
          <w:sz w:val="24"/>
          <w:highlight w:val="none"/>
        </w:rPr>
      </w:pPr>
      <w:r>
        <w:rPr>
          <w:rFonts w:hint="eastAsia"/>
          <w:color w:val="auto"/>
          <w:sz w:val="24"/>
          <w:highlight w:val="none"/>
        </w:rPr>
        <w:t xml:space="preserve">验收程序：由采购人组织中标人开展验收工作，验收完成共同签署项目验收单； </w:t>
      </w:r>
      <w:r/>
    </w:p>
    <w:p>
      <w:pPr>
        <w:ind w:firstLine="480"/>
        <w:spacing w:line="450" w:lineRule="exact"/>
        <w:rPr>
          <w:color w:val="auto"/>
          <w:sz w:val="24"/>
          <w:highlight w:val="none"/>
        </w:rPr>
      </w:pPr>
      <w:r>
        <w:rPr>
          <w:rFonts w:hint="eastAsia"/>
          <w:color w:val="auto"/>
          <w:sz w:val="24"/>
          <w:highlight w:val="none"/>
        </w:rPr>
        <w:t xml:space="preserve">3、验收内容：采购文件中的全部内容</w:t>
      </w:r>
      <w:r/>
    </w:p>
    <w:p>
      <w:pPr>
        <w:ind w:firstLine="480"/>
        <w:spacing w:line="45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4、履约验收相关具体事项按照本项目采购文件第三章合同文本执行。</w:t>
      </w:r>
      <w:r/>
    </w:p>
    <w:p>
      <w:pPr>
        <w:spacing w:line="450" w:lineRule="exact"/>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十</w:t>
      </w:r>
      <w:r>
        <w:rPr>
          <w:rFonts w:hint="eastAsia" w:ascii="黑体" w:hAnsi="黑体" w:eastAsia="黑体"/>
          <w:b/>
          <w:color w:val="auto"/>
          <w:sz w:val="24"/>
          <w:highlight w:val="none"/>
        </w:rPr>
        <w:t xml:space="preserve">、报价要求</w:t>
      </w:r>
      <w:r/>
    </w:p>
    <w:p>
      <w:pPr>
        <w:ind w:firstLine="480"/>
        <w:spacing w:line="450" w:lineRule="exact"/>
        <w:rPr>
          <w:color w:val="auto"/>
          <w:sz w:val="24"/>
          <w:highlight w:val="none"/>
        </w:rPr>
      </w:pPr>
      <w:r>
        <w:rPr>
          <w:rFonts w:hint="eastAsia"/>
          <w:color w:val="auto"/>
          <w:sz w:val="24"/>
          <w:highlight w:val="none"/>
        </w:rPr>
        <w:t xml:space="preserve">本项目投标报价应包含采购人需求的服务（包含与服务相关的产品）价格、质量保证费用、培训费用及售后服务费用，项目在指定地点、环境交付、安装、调试、验收所需费用和所有相关税金费用及为完成整个项目所产生的其它所有费用。</w:t>
      </w:r>
      <w:r/>
    </w:p>
    <w:p>
      <w:pPr>
        <w:ind w:firstLine="480"/>
        <w:spacing w:line="450" w:lineRule="exact"/>
        <w:rPr>
          <w:color w:val="auto"/>
          <w:sz w:val="24"/>
          <w:highlight w:val="none"/>
        </w:rPr>
      </w:pPr>
      <w:r>
        <w:rPr>
          <w:rFonts w:hint="eastAsia"/>
          <w:color w:val="auto"/>
          <w:sz w:val="24"/>
          <w:highlight w:val="none"/>
        </w:rPr>
        <w:t xml:space="preserve">除本合同另有约定外采购人无需再向成交供应商支付任何其他费用。  </w:t>
      </w:r>
      <w:r/>
    </w:p>
    <w:p>
      <w:pPr>
        <w:spacing w:line="450" w:lineRule="exact"/>
        <w:rPr>
          <w:rFonts w:hint="eastAsia" w:ascii="黑体" w:hAnsi="黑体" w:eastAsia="黑体"/>
          <w:b/>
          <w:color w:val="auto"/>
          <w:sz w:val="24"/>
          <w:highlight w:val="none"/>
        </w:rPr>
      </w:pPr>
      <w:r>
        <w:rPr>
          <w:rFonts w:hint="eastAsia" w:ascii="黑体" w:hAnsi="黑体" w:eastAsia="黑体"/>
          <w:b/>
          <w:color w:val="auto"/>
          <w:sz w:val="24"/>
          <w:highlight w:val="none"/>
        </w:rPr>
        <w:t xml:space="preserve">十</w:t>
      </w:r>
      <w:r>
        <w:rPr>
          <w:rFonts w:hint="eastAsia" w:ascii="黑体" w:hAnsi="黑体" w:eastAsia="黑体"/>
          <w:b/>
          <w:color w:val="auto"/>
          <w:sz w:val="24"/>
          <w:highlight w:val="none"/>
          <w:lang w:val="en-US" w:eastAsia="zh-CN"/>
        </w:rPr>
        <w:t xml:space="preserve">一</w:t>
      </w:r>
      <w:r>
        <w:rPr>
          <w:rFonts w:hint="eastAsia" w:ascii="黑体" w:hAnsi="黑体" w:eastAsia="黑体"/>
          <w:b/>
          <w:color w:val="auto"/>
          <w:sz w:val="24"/>
          <w:highlight w:val="none"/>
        </w:rPr>
        <w:t xml:space="preserve">、其他</w:t>
      </w:r>
      <w:r/>
    </w:p>
    <w:p>
      <w:pPr>
        <w:ind w:firstLine="480"/>
        <w:spacing w:line="450" w:lineRule="exact"/>
        <w:rPr>
          <w:color w:val="auto"/>
          <w:sz w:val="24"/>
          <w:highlight w:val="none"/>
        </w:rPr>
      </w:pPr>
      <w:r>
        <w:rPr>
          <w:rFonts w:hint="eastAsia"/>
          <w:color w:val="auto"/>
          <w:sz w:val="24"/>
          <w:highlight w:val="none"/>
        </w:rPr>
        <w:t xml:space="preserve">特别提醒供应商：应根据国家收费标准并结合市场实际进行报价，总价包干。</w:t>
      </w:r>
      <w:r/>
    </w:p>
    <w:p>
      <w:pPr>
        <w:ind w:firstLine="480"/>
        <w:spacing w:line="450" w:lineRule="exact"/>
        <w:rPr>
          <w:rFonts w:hint="eastAsia" w:ascii="宋体" w:hAnsi="宋体" w:cs="宋体"/>
          <w:b/>
          <w:color w:val="auto"/>
          <w:highlight w:val="none"/>
        </w:rPr>
      </w:pPr>
      <w:r>
        <w:rPr>
          <w:rFonts w:hint="eastAsia"/>
          <w:color w:val="auto"/>
          <w:sz w:val="24"/>
          <w:highlight w:val="none"/>
        </w:rPr>
        <w:t xml:space="preserve">工作中涉及的敏感资料、电子数据等相关信息，中标供应商应严格执行保密的相关规定，不得以任何方式向任何第三人披露、泄露或许可第三人使用，否则追究其相应法律责任。</w:t>
      </w:r>
      <w:bookmarkEnd w:id="169"/>
      <w:r/>
      <w:bookmarkEnd w:id="170"/>
      <w:r/>
      <w:r/>
    </w:p>
    <w:p>
      <w:pPr>
        <w:jc w:val="left"/>
        <w:widowControl/>
        <w:rPr>
          <w:color w:val="auto"/>
          <w:sz w:val="24"/>
          <w:szCs w:val="24"/>
          <w:highlight w:val="none"/>
        </w:rPr>
      </w:pPr>
      <w:r>
        <w:rPr>
          <w:color w:val="auto"/>
          <w:sz w:val="24"/>
          <w:szCs w:val="24"/>
          <w:highlight w:val="none"/>
        </w:rPr>
        <w:br w:type="page" w:clear="all"/>
      </w:r>
      <w:r/>
    </w:p>
    <w:p>
      <w:pPr>
        <w:pStyle w:val="1012"/>
        <w:jc w:val="center"/>
        <w:spacing w:before="156" w:after="156" w:line="360" w:lineRule="auto"/>
        <w:rPr>
          <w:rFonts w:hint="eastAsia" w:ascii="黑体" w:hAnsi="黑体" w:eastAsia="黑体"/>
          <w:b w:val="0"/>
          <w:color w:val="auto"/>
          <w:highlight w:val="none"/>
        </w:rPr>
      </w:pPr>
      <w:r/>
      <w:bookmarkStart w:id="171" w:name="_Toc155796360"/>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171"/>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评标委员会构成：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本采购项目评标委员会的评委由采购人代表、相关专家组成。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评标方法：</w:t>
      </w:r>
      <w:r/>
    </w:p>
    <w:p>
      <w:pPr>
        <w:ind w:firstLine="480"/>
        <w:spacing w:line="360" w:lineRule="auto"/>
        <w:rPr>
          <w:rFonts w:ascii="黑体" w:hAnsi="黑体" w:eastAsia="黑体"/>
          <w:color w:val="auto"/>
          <w:sz w:val="24"/>
          <w:szCs w:val="24"/>
          <w:highlight w:val="none"/>
        </w:rPr>
      </w:pPr>
      <w:r>
        <w:rPr>
          <w:rFonts w:hint="eastAsia" w:ascii="宋体" w:hAnsi="宋体" w:eastAsia="宋体" w:cs="宋体"/>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bCs/>
          <w:color w:val="auto"/>
          <w:sz w:val="24"/>
          <w:szCs w:val="24"/>
          <w:highlight w:val="none"/>
        </w:rPr>
        <w:t xml:space="preserve">评标原则：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、评标标准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（二）本项目评分总分为100分，按四舍五入取至小数点后两位。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（三）总得分 =价格分 + 商务分 + 技术分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（1）价格分（15分）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投标报价得分=（评标基准价／投标报价）×15分</w:t>
      </w:r>
      <w:r/>
    </w:p>
    <w:p>
      <w:pPr>
        <w:ind w:left="420"/>
        <w:spacing w:line="400" w:lineRule="exact"/>
        <w:rPr>
          <w:rFonts w:hint="eastAsia" w:ascii="宋体" w:hAnsi="宋体" w:cs="宋体"/>
          <w:b/>
          <w:color w:val="auto"/>
          <w:sz w:val="28"/>
          <w:szCs w:val="28"/>
          <w:highlight w:val="none"/>
        </w:rPr>
      </w:pPr>
      <w:r>
        <w:rPr>
          <w:rFonts w:hint="eastAsia" w:ascii="宋体" w:hAnsi="宋体" w:cs="宋体"/>
          <w:b/>
          <w:color w:val="auto"/>
          <w:sz w:val="24"/>
          <w:szCs w:val="24"/>
          <w:highlight w:val="none"/>
        </w:rPr>
        <w:t xml:space="preserve">（2）商务技术分：85分</w:t>
      </w:r>
      <w:r/>
    </w:p>
    <w:tbl>
      <w:tblPr>
        <w:tblStyle w:val="838"/>
        <w:tblW w:w="9121"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6"/>
        <w:gridCol w:w="1947"/>
        <w:gridCol w:w="6918"/>
      </w:tblGrid>
      <w:tr>
        <w:trPr>
          <w:trHeight w:val="519" w:hRule="exact"/>
        </w:trPr>
        <w:tc>
          <w:tcPr>
            <w:gridSpan w:val="2"/>
            <w:tcW w:w="2203" w:type="dxa"/>
            <w:vAlign w:val="center"/>
            <w:textDirection w:val="lrTb"/>
            <w:noWrap w:val="false"/>
          </w:tcPr>
          <w:p>
            <w:pPr>
              <w:pStyle w:val="1063"/>
              <w:ind w:left="61" w:right="50"/>
              <w:jc w:val="center"/>
              <w:spacing w:before="75" w:line="360" w:lineRule="auto"/>
              <w:rPr>
                <w:rFonts w:hint="eastAsia" w:ascii="宋体" w:hAnsi="宋体" w:cs="宋体"/>
                <w:b/>
                <w:bCs/>
                <w:color w:val="auto"/>
                <w:szCs w:val="21"/>
                <w:highlight w:val="none"/>
              </w:rPr>
            </w:pPr>
            <w:r>
              <w:rPr>
                <w:rFonts w:hint="eastAsia" w:ascii="宋体" w:hAnsi="宋体" w:cs="宋体"/>
                <w:b/>
                <w:bCs/>
                <w:color w:val="auto"/>
                <w:spacing w:val="-4"/>
                <w:szCs w:val="21"/>
                <w:highlight w:val="none"/>
              </w:rPr>
              <w:t xml:space="preserve">评审因素</w:t>
            </w:r>
            <w:r/>
          </w:p>
        </w:tc>
        <w:tc>
          <w:tcPr>
            <w:tcW w:w="6918" w:type="dxa"/>
            <w:vAlign w:val="center"/>
            <w:textDirection w:val="lrTb"/>
            <w:noWrap w:val="false"/>
          </w:tcPr>
          <w:p>
            <w:pPr>
              <w:pStyle w:val="1063"/>
              <w:ind w:left="1901" w:right="1888"/>
              <w:jc w:val="center"/>
              <w:spacing w:before="75" w:line="360" w:lineRule="auto"/>
              <w:rPr>
                <w:rFonts w:hint="eastAsia" w:ascii="宋体" w:hAnsi="宋体" w:cs="宋体"/>
                <w:b/>
                <w:bCs/>
                <w:color w:val="auto"/>
                <w:szCs w:val="21"/>
                <w:highlight w:val="none"/>
              </w:rPr>
            </w:pPr>
            <w:r>
              <w:rPr>
                <w:rFonts w:hint="eastAsia" w:ascii="宋体" w:hAnsi="宋体" w:cs="宋体"/>
                <w:b/>
                <w:bCs/>
                <w:color w:val="auto"/>
                <w:spacing w:val="-4"/>
                <w:szCs w:val="21"/>
                <w:highlight w:val="none"/>
              </w:rPr>
              <w:t xml:space="preserve">评审标准</w:t>
            </w:r>
            <w:r/>
          </w:p>
        </w:tc>
      </w:tr>
      <w:tr>
        <w:trPr>
          <w:gridBefore w:val="1"/>
          <w:trHeight w:val="497"/>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cs="宋体"/>
                <w:color w:val="auto"/>
                <w:spacing w:val="-2"/>
                <w:position w:val="6"/>
                <w:sz w:val="24"/>
                <w:szCs w:val="24"/>
                <w:highlight w:val="none"/>
              </w:rPr>
            </w:pPr>
            <w:r>
              <w:rPr>
                <w:rFonts w:hint="eastAsia" w:ascii="宋体" w:hAnsi="宋体" w:cs="宋体"/>
                <w:color w:val="auto"/>
                <w:spacing w:val="-2"/>
                <w:position w:val="6"/>
                <w:sz w:val="24"/>
                <w:szCs w:val="24"/>
                <w:highlight w:val="none"/>
              </w:rPr>
              <w:t xml:space="preserve">类似业绩</w:t>
            </w:r>
            <w:r/>
          </w:p>
          <w:p>
            <w:pPr>
              <w:jc w:val="center"/>
              <w:spacing w:line="360" w:lineRule="auto"/>
              <w:rPr>
                <w:rFonts w:hint="eastAsia" w:ascii="宋体" w:hAnsi="宋体" w:cs="宋体"/>
                <w:color w:val="auto"/>
                <w:szCs w:val="21"/>
                <w:highlight w:val="none"/>
              </w:rPr>
            </w:pPr>
            <w:r>
              <w:rPr>
                <w:rFonts w:hint="eastAsia" w:ascii="宋体" w:hAnsi="宋体" w:cs="宋体"/>
                <w:color w:val="auto"/>
                <w:spacing w:val="-2"/>
                <w:position w:val="6"/>
                <w:sz w:val="24"/>
                <w:szCs w:val="24"/>
                <w:highlight w:val="none"/>
              </w:rPr>
              <w:t xml:space="preserve">（15分）</w:t>
            </w:r>
            <w:r/>
          </w:p>
        </w:tc>
        <w:tc>
          <w:tcPr>
            <w:tcBorders>
              <w:top w:val="single" w:color="auto" w:sz="4" w:space="0"/>
              <w:left w:val="single" w:color="auto" w:sz="4" w:space="0"/>
              <w:bottom w:val="single" w:color="auto" w:sz="4" w:space="0"/>
              <w:right w:val="single" w:color="auto" w:sz="4" w:space="0"/>
            </w:tcBorders>
            <w:tcW w:w="6918" w:type="dxa"/>
            <w:vAlign w:val="center"/>
            <w:textDirection w:val="lrTb"/>
            <w:noWrap w:val="false"/>
          </w:tcPr>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供应商提供海上运输项目类似业绩的，提供一项</w:t>
            </w:r>
            <w:r>
              <w:rPr>
                <w:rFonts w:hint="eastAsia" w:ascii="宋体" w:hAnsi="宋体"/>
                <w:b/>
                <w:bCs/>
                <w:color w:val="auto"/>
                <w:sz w:val="24"/>
                <w:highlight w:val="none"/>
              </w:rPr>
              <w:t xml:space="preserve">得5分</w:t>
            </w:r>
            <w:r>
              <w:rPr>
                <w:rFonts w:hint="eastAsia" w:ascii="宋体" w:hAnsi="宋体"/>
                <w:color w:val="auto"/>
                <w:sz w:val="24"/>
                <w:highlight w:val="none"/>
              </w:rPr>
              <w:t xml:space="preserve">，本项最高</w:t>
            </w:r>
            <w:r>
              <w:rPr>
                <w:rFonts w:hint="eastAsia" w:ascii="宋体" w:hAnsi="宋体"/>
                <w:b/>
                <w:bCs/>
                <w:color w:val="auto"/>
                <w:sz w:val="24"/>
                <w:highlight w:val="none"/>
              </w:rPr>
              <w:t xml:space="preserve">得15分</w:t>
            </w:r>
            <w:r>
              <w:rPr>
                <w:rFonts w:hint="eastAsia" w:ascii="宋体" w:hAnsi="宋体"/>
                <w:color w:val="auto"/>
                <w:sz w:val="24"/>
                <w:highlight w:val="none"/>
              </w:rPr>
              <w:t xml:space="preserve">。</w:t>
            </w:r>
            <w:r/>
          </w:p>
          <w:p>
            <w:pPr>
              <w:jc w:val="left"/>
              <w:spacing w:line="360" w:lineRule="auto"/>
              <w:rPr>
                <w:rFonts w:hint="eastAsia" w:ascii="宋体" w:hAnsi="宋体"/>
                <w:color w:val="auto"/>
                <w:sz w:val="24"/>
                <w:highlight w:val="none"/>
              </w:rPr>
            </w:pPr>
            <w:r>
              <w:rPr>
                <w:rFonts w:ascii="宋体" w:hAnsi="宋体"/>
                <w:color w:val="auto"/>
                <w:sz w:val="24"/>
                <w:highlight w:val="none"/>
              </w:rPr>
              <w:t xml:space="preserve">注：以上证明材料需提供项目合同</w:t>
            </w:r>
            <w:r>
              <w:rPr>
                <w:rFonts w:hint="eastAsia" w:ascii="宋体" w:hAnsi="宋体"/>
                <w:color w:val="auto"/>
                <w:sz w:val="24"/>
                <w:highlight w:val="none"/>
              </w:rPr>
              <w:t xml:space="preserve">原件</w:t>
            </w:r>
            <w:r>
              <w:rPr>
                <w:rFonts w:ascii="宋体" w:hAnsi="宋体"/>
                <w:color w:val="auto"/>
                <w:sz w:val="24"/>
                <w:highlight w:val="none"/>
              </w:rPr>
              <w:t xml:space="preserve">扫描件，证明材料需能清晰反映</w:t>
            </w:r>
            <w:r>
              <w:rPr>
                <w:rFonts w:hint="eastAsia" w:ascii="宋体" w:hAnsi="宋体"/>
                <w:color w:val="auto"/>
                <w:sz w:val="24"/>
                <w:highlight w:val="none"/>
              </w:rPr>
              <w:t xml:space="preserve">供应商</w:t>
            </w:r>
            <w:r>
              <w:rPr>
                <w:rFonts w:ascii="宋体" w:hAnsi="宋体"/>
                <w:color w:val="auto"/>
                <w:sz w:val="24"/>
                <w:highlight w:val="none"/>
              </w:rPr>
              <w:t xml:space="preserve">名称、项目内容等主要信息，未提供、提供不全或提供不清晰的均不得分。</w:t>
            </w:r>
            <w:r/>
          </w:p>
        </w:tc>
      </w:tr>
      <w:tr>
        <w:trPr>
          <w:gridBefore w:val="1"/>
          <w:trHeight w:val="836"/>
        </w:trPr>
        <w:tc>
          <w:tcPr>
            <w:tcBorders>
              <w:left w:val="single" w:color="auto" w:sz="4" w:space="0"/>
              <w:right w:val="single" w:color="auto" w:sz="4" w:space="0"/>
            </w:tcBorders>
            <w:tcW w:w="1947"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项目团队</w:t>
            </w:r>
            <w:r/>
          </w:p>
          <w:p>
            <w:pPr>
              <w:jc w:val="center"/>
              <w:spacing w:line="360" w:lineRule="auto"/>
              <w:widowControl/>
              <w:rPr>
                <w:rFonts w:hint="eastAsia" w:ascii="宋体" w:hAnsi="宋体" w:cs="宋体"/>
                <w:color w:val="auto"/>
                <w:spacing w:val="10"/>
                <w:szCs w:val="21"/>
                <w:highlight w:val="none"/>
              </w:rPr>
            </w:pPr>
            <w:r>
              <w:rPr>
                <w:rFonts w:hint="eastAsia" w:ascii="宋体" w:hAnsi="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18" w:type="dxa"/>
            <w:vAlign w:val="center"/>
            <w:textDirection w:val="lrTb"/>
            <w:noWrap w:val="false"/>
          </w:tcPr>
          <w:p>
            <w:pPr>
              <w:jc w:val="left"/>
              <w:spacing w:line="360" w:lineRule="auto"/>
              <w:rPr>
                <w:rFonts w:hint="eastAsia" w:ascii="宋体" w:hAnsi="宋体" w:cs="宋体"/>
                <w:color w:val="auto"/>
                <w:spacing w:val="-2"/>
                <w:position w:val="6"/>
                <w:sz w:val="24"/>
                <w:szCs w:val="24"/>
                <w:highlight w:val="none"/>
              </w:rPr>
            </w:pPr>
            <w:r>
              <w:rPr>
                <w:rFonts w:hint="eastAsia" w:ascii="宋体" w:hAnsi="宋体" w:cs="宋体"/>
                <w:color w:val="auto"/>
                <w:spacing w:val="-2"/>
                <w:position w:val="6"/>
                <w:sz w:val="24"/>
                <w:szCs w:val="24"/>
                <w:highlight w:val="none"/>
              </w:rPr>
              <w:t xml:space="preserve">一、项目负责人 (4分)</w:t>
            </w:r>
            <w:r/>
          </w:p>
          <w:p>
            <w:pPr>
              <w:ind w:firstLine="472"/>
              <w:jc w:val="left"/>
              <w:spacing w:line="360" w:lineRule="auto"/>
              <w:rPr>
                <w:rFonts w:hint="eastAsia" w:ascii="宋体" w:hAnsi="宋体" w:cs="宋体"/>
                <w:color w:val="auto"/>
                <w:spacing w:val="-2"/>
                <w:position w:val="6"/>
                <w:sz w:val="24"/>
                <w:szCs w:val="24"/>
                <w:highlight w:val="none"/>
              </w:rPr>
            </w:pPr>
            <w:r>
              <w:rPr>
                <w:rFonts w:hint="eastAsia" w:ascii="宋体" w:hAnsi="宋体" w:cs="宋体"/>
                <w:color w:val="auto"/>
                <w:spacing w:val="-2"/>
                <w:position w:val="6"/>
                <w:sz w:val="24"/>
                <w:szCs w:val="24"/>
                <w:highlight w:val="none"/>
              </w:rPr>
              <w:t xml:space="preserve">为本项目配备项目负责人一名，负责码头现场管理及调度，本项最高</w:t>
            </w:r>
            <w:r>
              <w:rPr>
                <w:rFonts w:hint="eastAsia" w:ascii="宋体" w:hAnsi="宋体" w:cs="宋体"/>
                <w:b/>
                <w:bCs/>
                <w:color w:val="auto"/>
                <w:spacing w:val="-2"/>
                <w:position w:val="6"/>
                <w:sz w:val="24"/>
                <w:szCs w:val="24"/>
                <w:highlight w:val="none"/>
              </w:rPr>
              <w:t xml:space="preserve">得4分</w:t>
            </w:r>
            <w:r>
              <w:rPr>
                <w:rFonts w:hint="eastAsia" w:ascii="宋体" w:hAnsi="宋体" w:cs="宋体"/>
                <w:color w:val="auto"/>
                <w:spacing w:val="-2"/>
                <w:position w:val="6"/>
                <w:sz w:val="24"/>
                <w:szCs w:val="24"/>
                <w:highlight w:val="none"/>
              </w:rPr>
              <w:t xml:space="preserve">，不提供不得分。</w:t>
            </w:r>
            <w:r/>
          </w:p>
          <w:p>
            <w:pPr>
              <w:jc w:val="left"/>
              <w:spacing w:line="360" w:lineRule="auto"/>
              <w:rPr>
                <w:rFonts w:hint="eastAsia" w:ascii="宋体" w:hAnsi="宋体" w:cs="宋体"/>
                <w:color w:val="auto"/>
                <w:spacing w:val="-2"/>
                <w:position w:val="6"/>
                <w:sz w:val="24"/>
                <w:szCs w:val="24"/>
                <w:highlight w:val="none"/>
              </w:rPr>
            </w:pPr>
            <w:r>
              <w:rPr>
                <w:rFonts w:hint="eastAsia" w:ascii="宋体" w:hAnsi="宋体" w:cs="宋体"/>
                <w:color w:val="auto"/>
                <w:spacing w:val="-2"/>
                <w:position w:val="6"/>
                <w:sz w:val="24"/>
                <w:szCs w:val="24"/>
                <w:highlight w:val="none"/>
              </w:rPr>
              <w:t xml:space="preserve">二、项目组成员（6分)</w:t>
            </w:r>
            <w:r/>
          </w:p>
          <w:p>
            <w:pPr>
              <w:ind w:firstLine="472"/>
              <w:jc w:val="left"/>
              <w:spacing w:line="360" w:lineRule="auto"/>
              <w:rPr>
                <w:rFonts w:hint="eastAsia" w:ascii="宋体" w:hAnsi="宋体" w:cs="宋体"/>
                <w:color w:val="auto"/>
                <w:spacing w:val="-2"/>
                <w:position w:val="6"/>
                <w:sz w:val="24"/>
                <w:szCs w:val="24"/>
                <w:highlight w:val="none"/>
              </w:rPr>
            </w:pPr>
            <w:r>
              <w:rPr>
                <w:rFonts w:hint="eastAsia" w:ascii="宋体" w:hAnsi="宋体" w:cs="宋体"/>
                <w:color w:val="auto"/>
                <w:spacing w:val="-2"/>
                <w:position w:val="6"/>
                <w:sz w:val="24"/>
                <w:szCs w:val="24"/>
                <w:highlight w:val="none"/>
              </w:rPr>
              <w:t xml:space="preserve">为本项目配备的技术人员2名，负责现场记录和管理人员、负责现场记录和管理人员各提供一人得3分，本项最高</w:t>
            </w:r>
            <w:r>
              <w:rPr>
                <w:rFonts w:hint="eastAsia" w:ascii="宋体" w:hAnsi="宋体" w:cs="宋体"/>
                <w:b/>
                <w:bCs/>
                <w:color w:val="auto"/>
                <w:spacing w:val="-2"/>
                <w:position w:val="6"/>
                <w:sz w:val="24"/>
                <w:szCs w:val="24"/>
                <w:highlight w:val="none"/>
              </w:rPr>
              <w:t xml:space="preserve">得6分</w:t>
            </w:r>
            <w:r>
              <w:rPr>
                <w:rFonts w:hint="eastAsia" w:ascii="宋体" w:hAnsi="宋体" w:cs="宋体"/>
                <w:color w:val="auto"/>
                <w:spacing w:val="-2"/>
                <w:position w:val="6"/>
                <w:sz w:val="24"/>
                <w:szCs w:val="24"/>
                <w:highlight w:val="none"/>
              </w:rPr>
              <w:t xml:space="preserve">，不提供不得分。</w:t>
            </w:r>
            <w:r/>
          </w:p>
          <w:p>
            <w:pPr>
              <w:jc w:val="left"/>
              <w:spacing w:line="360" w:lineRule="auto"/>
              <w:rPr>
                <w:rFonts w:hint="eastAsia" w:ascii="宋体" w:hAnsi="宋体" w:cs="宋体"/>
                <w:color w:val="auto"/>
                <w:szCs w:val="21"/>
                <w:highlight w:val="none"/>
              </w:rPr>
            </w:pPr>
            <w:r>
              <w:rPr>
                <w:rFonts w:hint="eastAsia" w:ascii="宋体" w:hAnsi="宋体" w:cs="宋体"/>
                <w:color w:val="auto"/>
                <w:spacing w:val="-2"/>
                <w:position w:val="6"/>
                <w:sz w:val="24"/>
                <w:szCs w:val="24"/>
                <w:highlight w:val="none"/>
              </w:rPr>
              <w:t xml:space="preserve">注：以上拟配备本项目团队人员必须为供应商正式职工，提供劳动合同原件扫描件，不提供或提供不全不得分。</w:t>
            </w:r>
            <w:r/>
          </w:p>
        </w:tc>
      </w:tr>
      <w:tr>
        <w:trPr>
          <w:gridBefore w:val="1"/>
          <w:trHeight w:val="855"/>
        </w:trPr>
        <w:tc>
          <w:tcPr>
            <w:tcBorders>
              <w:left w:val="single" w:color="auto" w:sz="4" w:space="0"/>
              <w:right w:val="single" w:color="auto" w:sz="4" w:space="0"/>
            </w:tcBorders>
            <w:tcW w:w="1947"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项目的现状了解情况</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18" w:type="dxa"/>
            <w:vAlign w:val="center"/>
            <w:textDirection w:val="lrTb"/>
            <w:noWrap w:val="false"/>
          </w:tcPr>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对本项目的现状了解情况并能够结合实际情况进行梳理存在的问题等方面进行综合评分。</w:t>
            </w:r>
            <w:r/>
          </w:p>
          <w:p>
            <w:pPr>
              <w:ind w:firstLine="240"/>
              <w:spacing w:line="360" w:lineRule="auto"/>
              <w:tabs>
                <w:tab w:val="left" w:pos="1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充分了解项目背景，对项目意图、相关政策等情况理解充分，总体研究思路清晰，</w:t>
            </w:r>
            <w:r>
              <w:rPr>
                <w:rFonts w:hint="eastAsia" w:ascii="宋体" w:hAnsi="宋体" w:cs="宋体"/>
                <w:b/>
                <w:bCs/>
                <w:color w:val="auto"/>
                <w:sz w:val="24"/>
                <w:szCs w:val="24"/>
                <w:highlight w:val="none"/>
              </w:rPr>
              <w:t xml:space="preserve">得10分；</w:t>
            </w:r>
            <w:r/>
          </w:p>
          <w:p>
            <w:pPr>
              <w:ind w:firstLine="240"/>
              <w:spacing w:line="360" w:lineRule="auto"/>
              <w:tabs>
                <w:tab w:val="left" w:pos="1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基本了解项目背景，对项目意图、相关政策等情况基本理解，总体研究思路基本清晰，</w:t>
            </w:r>
            <w:r>
              <w:rPr>
                <w:rFonts w:hint="eastAsia" w:ascii="宋体" w:hAnsi="宋体" w:cs="宋体"/>
                <w:b/>
                <w:bCs/>
                <w:color w:val="auto"/>
                <w:sz w:val="24"/>
                <w:szCs w:val="24"/>
                <w:highlight w:val="none"/>
              </w:rPr>
              <w:t xml:space="preserve">得7分</w:t>
            </w:r>
            <w:r>
              <w:rPr>
                <w:rFonts w:hint="eastAsia" w:ascii="宋体" w:hAnsi="宋体" w:cs="宋体"/>
                <w:color w:val="auto"/>
                <w:sz w:val="24"/>
                <w:szCs w:val="24"/>
                <w:highlight w:val="none"/>
              </w:rPr>
              <w:t xml:space="preserve">；</w:t>
            </w:r>
            <w:r/>
          </w:p>
          <w:p>
            <w:pPr>
              <w:ind w:firstLine="240"/>
              <w:spacing w:line="360" w:lineRule="auto"/>
              <w:tabs>
                <w:tab w:val="left" w:pos="1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不够了解项目背景，对项目意图、相关政策等情况理解不够充分，总体研究思路模糊，</w:t>
            </w:r>
            <w:r>
              <w:rPr>
                <w:rFonts w:hint="eastAsia" w:ascii="宋体" w:hAnsi="宋体" w:cs="宋体"/>
                <w:b/>
                <w:bCs/>
                <w:color w:val="auto"/>
                <w:sz w:val="24"/>
                <w:szCs w:val="24"/>
                <w:highlight w:val="none"/>
              </w:rPr>
              <w:t xml:space="preserve">得4分；</w:t>
            </w:r>
            <w:r/>
          </w:p>
          <w:p>
            <w:pPr>
              <w:ind w:firstLine="482"/>
              <w:spacing w:line="360" w:lineRule="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未见阐述不得分。</w:t>
            </w:r>
            <w:r/>
          </w:p>
        </w:tc>
      </w:tr>
      <w:tr>
        <w:trPr>
          <w:gridBefore w:val="1"/>
          <w:trHeight w:val="557"/>
        </w:trPr>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实施方案</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18" w:type="dxa"/>
            <w:vAlign w:val="center"/>
            <w:textDirection w:val="lrTb"/>
            <w:noWrap w:val="false"/>
          </w:tcPr>
          <w:p>
            <w:pPr>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供应商可从包含且不限于接驳、称重计量、存储、浒苔自动化打捞及环保处置、作业程序、接收效率、规范服务、安全作业、安全停泊等角度考虑，根据供应商提供的方案进行综合评分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方案科学全面、详细合理、针对性及可操作性强的</w:t>
            </w:r>
            <w:r>
              <w:rPr>
                <w:rFonts w:hint="eastAsia" w:ascii="宋体" w:hAnsi="宋体" w:cs="宋体"/>
                <w:b/>
                <w:bCs/>
                <w:color w:val="auto"/>
                <w:sz w:val="24"/>
                <w:szCs w:val="24"/>
                <w:highlight w:val="none"/>
              </w:rPr>
              <w:t xml:space="preserve">得10分；</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方案较全面、较详细合理、针对性及可操作性较强的</w:t>
            </w:r>
            <w:r>
              <w:rPr>
                <w:rFonts w:hint="eastAsia" w:ascii="宋体" w:hAnsi="宋体" w:cs="宋体"/>
                <w:b/>
                <w:bCs/>
                <w:color w:val="auto"/>
                <w:sz w:val="24"/>
                <w:szCs w:val="24"/>
                <w:highlight w:val="none"/>
              </w:rPr>
              <w:t xml:space="preserve">得7分；</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方案基本全面、基本详细合理、针对性及可操作性基本强的</w:t>
            </w:r>
            <w:r>
              <w:rPr>
                <w:rFonts w:hint="eastAsia" w:ascii="宋体" w:hAnsi="宋体" w:cs="宋体"/>
                <w:b/>
                <w:bCs/>
                <w:color w:val="auto"/>
                <w:sz w:val="24"/>
                <w:szCs w:val="24"/>
                <w:highlight w:val="none"/>
              </w:rPr>
              <w:t xml:space="preserve">得4分；</w:t>
            </w:r>
            <w:r/>
          </w:p>
          <w:p>
            <w:pPr>
              <w:ind w:firstLine="241"/>
              <w:spacing w:line="360" w:lineRule="auto"/>
              <w:tabs>
                <w:tab w:val="left" w:pos="18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未见阐述不得分。</w:t>
            </w:r>
            <w:r/>
          </w:p>
        </w:tc>
      </w:tr>
      <w:tr>
        <w:trPr>
          <w:gridBefore w:val="1"/>
          <w:trHeight w:val="557"/>
        </w:trPr>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spacing w:line="323" w:lineRule="auto"/>
              <w:rPr>
                <w:rFonts w:hint="eastAsia" w:ascii="宋体" w:hAnsi="宋体"/>
                <w:color w:val="auto"/>
                <w:sz w:val="24"/>
                <w:highlight w:val="none"/>
              </w:rPr>
            </w:pPr>
            <w:r>
              <w:rPr>
                <w:rFonts w:hint="eastAsia" w:ascii="宋体" w:hAnsi="宋体"/>
                <w:color w:val="auto"/>
                <w:sz w:val="24"/>
                <w:highlight w:val="none"/>
              </w:rPr>
              <w:t xml:space="preserve">质量及进度保障</w:t>
            </w:r>
            <w:r/>
          </w:p>
          <w:p>
            <w:pPr>
              <w:jc w:val="center"/>
              <w:spacing w:before="217"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18" w:type="dxa"/>
            <w:textDirection w:val="lrTb"/>
            <w:noWrap w:val="false"/>
          </w:tcPr>
          <w:p>
            <w:pPr>
              <w:ind w:firstLine="480"/>
              <w:jc w:val="left"/>
              <w:spacing w:line="323" w:lineRule="auto"/>
              <w:rPr>
                <w:rFonts w:hint="eastAsia" w:ascii="宋体" w:hAnsi="宋体"/>
                <w:color w:val="auto"/>
                <w:sz w:val="24"/>
                <w:highlight w:val="none"/>
              </w:rPr>
            </w:pPr>
            <w:r>
              <w:rPr>
                <w:rFonts w:ascii="宋体" w:hAnsi="宋体"/>
                <w:color w:val="auto"/>
                <w:sz w:val="24"/>
                <w:highlight w:val="none"/>
              </w:rPr>
              <w:t xml:space="preserve">根据供应商对项目进度计划和人员安排、质量和进度保障措施进行评分：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方案科学全面、详细合理、针对性及可操作性强的</w:t>
            </w:r>
            <w:r>
              <w:rPr>
                <w:rFonts w:hint="eastAsia" w:ascii="宋体" w:hAnsi="宋体" w:cs="宋体"/>
                <w:b/>
                <w:bCs/>
                <w:color w:val="auto"/>
                <w:sz w:val="24"/>
                <w:szCs w:val="24"/>
                <w:highlight w:val="none"/>
              </w:rPr>
              <w:t xml:space="preserve">得10分；</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方案较全面、较详细合理、针对性及可操作性较强的</w:t>
            </w:r>
            <w:r>
              <w:rPr>
                <w:rFonts w:hint="eastAsia" w:ascii="宋体" w:hAnsi="宋体" w:cs="宋体"/>
                <w:b/>
                <w:bCs/>
                <w:color w:val="auto"/>
                <w:sz w:val="24"/>
                <w:szCs w:val="24"/>
                <w:highlight w:val="none"/>
              </w:rPr>
              <w:t xml:space="preserve">得7分；</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方案基本全面、基本详细合理、针对性及可操作性基本强的</w:t>
            </w:r>
            <w:r>
              <w:rPr>
                <w:rFonts w:hint="eastAsia" w:ascii="宋体" w:hAnsi="宋体" w:cs="宋体"/>
                <w:b/>
                <w:bCs/>
                <w:color w:val="auto"/>
                <w:sz w:val="24"/>
                <w:szCs w:val="24"/>
                <w:highlight w:val="none"/>
              </w:rPr>
              <w:t xml:space="preserve">得4分；</w:t>
            </w:r>
            <w:r/>
          </w:p>
          <w:p>
            <w:pPr>
              <w:ind w:firstLine="241"/>
              <w:spacing w:line="360" w:lineRule="auto"/>
              <w:tabs>
                <w:tab w:val="left" w:pos="18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未见阐述不得分。</w:t>
            </w:r>
            <w:r/>
          </w:p>
        </w:tc>
      </w:tr>
      <w:tr>
        <w:trPr>
          <w:gridBefore w:val="1"/>
          <w:trHeight w:val="557"/>
        </w:trPr>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spacing w:before="217" w:line="360" w:lineRule="auto"/>
              <w:rPr>
                <w:rFonts w:hint="eastAsia" w:ascii="宋体" w:hAnsi="宋体"/>
                <w:color w:val="auto"/>
                <w:sz w:val="24"/>
                <w:highlight w:val="none"/>
              </w:rPr>
            </w:pPr>
            <w:r>
              <w:rPr>
                <w:rFonts w:hint="eastAsia" w:ascii="宋体" w:hAnsi="宋体"/>
                <w:color w:val="auto"/>
                <w:sz w:val="24"/>
                <w:highlight w:val="none"/>
              </w:rPr>
              <w:t xml:space="preserve">合理化建议</w:t>
            </w:r>
            <w:r/>
          </w:p>
          <w:p>
            <w:pPr>
              <w:jc w:val="center"/>
              <w:spacing w:before="68" w:line="280" w:lineRule="exact"/>
              <w:rPr>
                <w:rFonts w:hint="eastAsia" w:ascii="宋体" w:hAnsi="宋体"/>
                <w:color w:val="auto"/>
                <w:sz w:val="24"/>
                <w:szCs w:val="24"/>
                <w:highlight w:val="none"/>
              </w:rPr>
            </w:pPr>
            <w:r>
              <w:rPr>
                <w:rFonts w:hint="eastAsia" w:ascii="宋体" w:hAnsi="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18" w:type="dxa"/>
            <w:vAlign w:val="center"/>
            <w:textDirection w:val="lrTb"/>
            <w:noWrap w:val="false"/>
          </w:tcPr>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针对本项目实施提出合理化建议，包括但不限于创新性、特色的服务内容或想法等方面进行综合评分。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方案健全完善，具有创新性，服务内容具有特色、可操作性强的</w:t>
            </w:r>
            <w:r>
              <w:rPr>
                <w:rFonts w:hint="eastAsia" w:ascii="宋体" w:hAnsi="宋体" w:cs="宋体"/>
                <w:b/>
                <w:bCs/>
                <w:color w:val="auto"/>
                <w:sz w:val="24"/>
                <w:highlight w:val="none"/>
              </w:rPr>
              <w:t xml:space="preserve">得10分； </w:t>
            </w:r>
            <w:r/>
          </w:p>
          <w:p>
            <w:pPr>
              <w:ind w:firstLine="480"/>
              <w:spacing w:line="360" w:lineRule="auto"/>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方案比较健全完善，比较具有创新性，服务内容比较具有特色、比较具有可操作性</w:t>
            </w:r>
            <w:r>
              <w:rPr>
                <w:rFonts w:hint="eastAsia" w:ascii="宋体" w:hAnsi="宋体" w:cs="宋体"/>
                <w:b/>
                <w:bCs/>
                <w:color w:val="auto"/>
                <w:sz w:val="24"/>
                <w:highlight w:val="none"/>
              </w:rPr>
              <w:t xml:space="preserve">得7分； </w:t>
            </w:r>
            <w:r/>
          </w:p>
          <w:p>
            <w:pPr>
              <w:ind w:firstLine="480"/>
              <w:spacing w:line="360" w:lineRule="auto"/>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方案基本健全完善，基本具有创新性，服务内容基本具有特色、可操作性一般的</w:t>
            </w:r>
            <w:r>
              <w:rPr>
                <w:rFonts w:hint="eastAsia" w:ascii="宋体" w:hAnsi="宋体" w:cs="宋体"/>
                <w:b/>
                <w:bCs/>
                <w:color w:val="auto"/>
                <w:sz w:val="24"/>
                <w:highlight w:val="none"/>
              </w:rPr>
              <w:t xml:space="preserve">得4分； </w:t>
            </w:r>
            <w:r/>
          </w:p>
          <w:p>
            <w:pPr>
              <w:ind w:firstLine="482"/>
              <w:jc w:val="left"/>
              <w:spacing w:line="360" w:lineRule="auto"/>
              <w:rPr>
                <w:rFonts w:hint="eastAsia" w:ascii="宋体" w:hAnsi="宋体"/>
                <w:color w:val="auto"/>
                <w:sz w:val="24"/>
                <w:szCs w:val="24"/>
                <w:highlight w:val="none"/>
              </w:rPr>
            </w:pPr>
            <w:r>
              <w:rPr>
                <w:rFonts w:hint="eastAsia" w:ascii="宋体" w:hAnsi="宋体" w:cs="宋体"/>
                <w:b/>
                <w:bCs/>
                <w:color w:val="auto"/>
                <w:sz w:val="24"/>
                <w:szCs w:val="24"/>
                <w:highlight w:val="none"/>
              </w:rPr>
              <w:t xml:space="preserve">未见阐述不得分。</w:t>
            </w:r>
            <w:r/>
          </w:p>
        </w:tc>
      </w:tr>
      <w:tr>
        <w:trPr>
          <w:gridBefore w:val="1"/>
          <w:trHeight w:val="2143"/>
        </w:trPr>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spacing w:before="217" w:line="360" w:lineRule="auto"/>
              <w:rPr>
                <w:rFonts w:hint="eastAsia" w:ascii="宋体" w:hAnsi="宋体"/>
                <w:color w:val="auto"/>
                <w:sz w:val="24"/>
                <w:highlight w:val="none"/>
              </w:rPr>
            </w:pPr>
            <w:r>
              <w:rPr>
                <w:rFonts w:hint="eastAsia" w:ascii="宋体" w:hAnsi="宋体"/>
                <w:color w:val="auto"/>
                <w:sz w:val="24"/>
                <w:highlight w:val="none"/>
              </w:rPr>
              <w:t xml:space="preserve">人员培训管理制度</w:t>
            </w:r>
            <w:r/>
          </w:p>
          <w:p>
            <w:pPr>
              <w:jc w:val="center"/>
              <w:spacing w:before="217" w:line="360" w:lineRule="auto"/>
              <w:rPr>
                <w:rFonts w:hint="eastAsia" w:ascii="宋体" w:hAnsi="宋体"/>
                <w:color w:val="auto"/>
                <w:sz w:val="24"/>
                <w:highlight w:val="none"/>
              </w:rPr>
            </w:pPr>
            <w:r>
              <w:rPr>
                <w:rFonts w:hint="eastAsia" w:ascii="宋体" w:hAnsi="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18" w:type="dxa"/>
            <w:vAlign w:val="center"/>
            <w:textDirection w:val="lrTb"/>
            <w:noWrap w:val="false"/>
          </w:tcPr>
          <w:p>
            <w:pPr>
              <w:ind w:firstLine="480"/>
              <w:jc w:val="left"/>
              <w:spacing w:before="217" w:line="360" w:lineRule="auto"/>
              <w:rPr>
                <w:rFonts w:hint="eastAsia" w:ascii="宋体" w:hAnsi="宋体"/>
                <w:color w:val="auto"/>
                <w:sz w:val="24"/>
                <w:highlight w:val="none"/>
              </w:rPr>
            </w:pPr>
            <w:r>
              <w:rPr>
                <w:rFonts w:hint="eastAsia" w:ascii="宋体" w:hAnsi="宋体"/>
                <w:color w:val="auto"/>
                <w:sz w:val="24"/>
                <w:highlight w:val="none"/>
              </w:rPr>
              <w:t xml:space="preserve">根据供应商提供的项目人员培训方案的完整性、可行性等方面进行综合评分。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方案科学全面、详细合理、针对性及可操作性强的</w:t>
            </w:r>
            <w:r>
              <w:rPr>
                <w:rFonts w:hint="eastAsia" w:ascii="宋体" w:hAnsi="宋体" w:cs="宋体"/>
                <w:b/>
                <w:bCs/>
                <w:color w:val="auto"/>
                <w:sz w:val="24"/>
                <w:szCs w:val="24"/>
                <w:highlight w:val="none"/>
              </w:rPr>
              <w:t xml:space="preserve">得10分；</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方案较全面、较详细合理、针对性及可操作性较强的</w:t>
            </w:r>
            <w:r>
              <w:rPr>
                <w:rFonts w:hint="eastAsia" w:ascii="宋体" w:hAnsi="宋体" w:cs="宋体"/>
                <w:b/>
                <w:bCs/>
                <w:color w:val="auto"/>
                <w:sz w:val="24"/>
                <w:szCs w:val="24"/>
                <w:highlight w:val="none"/>
              </w:rPr>
              <w:t xml:space="preserve">得7分；</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方案基本全面、基本详细合理、针对性及可操作性基本强的</w:t>
            </w:r>
            <w:r>
              <w:rPr>
                <w:rFonts w:hint="eastAsia" w:ascii="宋体" w:hAnsi="宋体" w:cs="宋体"/>
                <w:b/>
                <w:bCs/>
                <w:color w:val="auto"/>
                <w:sz w:val="24"/>
                <w:szCs w:val="24"/>
                <w:highlight w:val="none"/>
              </w:rPr>
              <w:t xml:space="preserve">得4分；</w:t>
            </w:r>
            <w:r/>
          </w:p>
          <w:p>
            <w:pPr>
              <w:ind w:firstLine="241"/>
              <w:spacing w:line="360" w:lineRule="auto"/>
              <w:tabs>
                <w:tab w:val="left" w:pos="180" w:leader="none"/>
              </w:tabs>
              <w:rPr>
                <w:rFonts w:hint="eastAsia" w:ascii="宋体" w:hAnsi="宋体"/>
                <w:color w:val="auto"/>
                <w:sz w:val="24"/>
                <w:highlight w:val="none"/>
              </w:rPr>
            </w:pPr>
            <w:r>
              <w:rPr>
                <w:rFonts w:hint="eastAsia" w:ascii="宋体" w:hAnsi="宋体" w:cs="宋体"/>
                <w:b/>
                <w:bCs/>
                <w:color w:val="auto"/>
                <w:sz w:val="24"/>
                <w:szCs w:val="24"/>
                <w:highlight w:val="none"/>
              </w:rPr>
              <w:t xml:space="preserve">未见阐述不得分。</w:t>
            </w:r>
            <w:r/>
          </w:p>
        </w:tc>
      </w:tr>
      <w:tr>
        <w:trPr>
          <w:gridBefore w:val="1"/>
          <w:trHeight w:val="343"/>
        </w:trPr>
        <w:tc>
          <w:tcPr>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spacing w:before="217" w:line="360" w:lineRule="auto"/>
              <w:rPr>
                <w:rFonts w:hint="eastAsia" w:ascii="宋体" w:hAnsi="宋体"/>
                <w:color w:val="auto"/>
                <w:sz w:val="24"/>
                <w:highlight w:val="none"/>
              </w:rPr>
            </w:pPr>
            <w:r>
              <w:rPr>
                <w:rFonts w:hint="eastAsia" w:ascii="宋体" w:hAnsi="宋体"/>
                <w:color w:val="auto"/>
                <w:sz w:val="24"/>
                <w:highlight w:val="none"/>
              </w:rPr>
              <w:t xml:space="preserve">人员考核措施</w:t>
            </w:r>
            <w:r/>
          </w:p>
          <w:p>
            <w:pPr>
              <w:jc w:val="center"/>
              <w:spacing w:before="217" w:line="360" w:lineRule="auto"/>
              <w:rPr>
                <w:rFonts w:hint="eastAsia" w:ascii="宋体" w:hAnsi="宋体"/>
                <w:color w:val="auto"/>
                <w:sz w:val="24"/>
                <w:highlight w:val="none"/>
              </w:rPr>
            </w:pPr>
            <w:r>
              <w:rPr>
                <w:rFonts w:hint="eastAsia" w:ascii="宋体" w:hAnsi="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6918" w:type="dxa"/>
            <w:vAlign w:val="center"/>
            <w:textDirection w:val="lrTb"/>
            <w:noWrap w:val="false"/>
          </w:tcPr>
          <w:p>
            <w:pPr>
              <w:ind w:firstLine="480"/>
              <w:jc w:val="left"/>
              <w:spacing w:before="217" w:line="360" w:lineRule="auto"/>
              <w:rPr>
                <w:rFonts w:hint="eastAsia" w:ascii="宋体" w:hAnsi="宋体"/>
                <w:color w:val="auto"/>
                <w:sz w:val="24"/>
                <w:highlight w:val="none"/>
              </w:rPr>
            </w:pPr>
            <w:r>
              <w:rPr>
                <w:rFonts w:hint="eastAsia" w:ascii="宋体" w:hAnsi="宋体"/>
                <w:color w:val="auto"/>
                <w:sz w:val="24"/>
                <w:highlight w:val="none"/>
              </w:rPr>
              <w:t xml:space="preserve">根据供应商提供的项目人员培考核措施的科学、严密、合理性等方面进行综合评分。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方案科学全面、详细合理、针对性及可操作性强的</w:t>
            </w:r>
            <w:r>
              <w:rPr>
                <w:rFonts w:hint="eastAsia" w:ascii="宋体" w:hAnsi="宋体" w:cs="宋体"/>
                <w:b/>
                <w:bCs/>
                <w:color w:val="auto"/>
                <w:sz w:val="24"/>
                <w:szCs w:val="24"/>
                <w:highlight w:val="none"/>
              </w:rPr>
              <w:t xml:space="preserve">得10分；</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方案较全面、较详细合理、针对性及可操作性较强的</w:t>
            </w:r>
            <w:r>
              <w:rPr>
                <w:rFonts w:hint="eastAsia" w:ascii="宋体" w:hAnsi="宋体" w:cs="宋体"/>
                <w:b/>
                <w:bCs/>
                <w:color w:val="auto"/>
                <w:sz w:val="24"/>
                <w:szCs w:val="24"/>
                <w:highlight w:val="none"/>
              </w:rPr>
              <w:t xml:space="preserve">得7分；</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方案基本全面、基本详细合理、针对性及可操作性基本强的</w:t>
            </w:r>
            <w:r>
              <w:rPr>
                <w:rFonts w:hint="eastAsia" w:ascii="宋体" w:hAnsi="宋体" w:cs="宋体"/>
                <w:b/>
                <w:bCs/>
                <w:color w:val="auto"/>
                <w:sz w:val="24"/>
                <w:szCs w:val="24"/>
                <w:highlight w:val="none"/>
              </w:rPr>
              <w:t xml:space="preserve">得4分；</w:t>
            </w:r>
            <w:r/>
          </w:p>
          <w:p>
            <w:pPr>
              <w:ind w:firstLine="241"/>
              <w:spacing w:line="360" w:lineRule="auto"/>
              <w:tabs>
                <w:tab w:val="left" w:pos="18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未见阐述不得分。</w:t>
            </w:r>
            <w:r/>
          </w:p>
        </w:tc>
      </w:tr>
    </w:tbl>
    <w:p>
      <w:pPr>
        <w:ind w:firstLine="480"/>
        <w:jc w:val="left"/>
        <w:spacing w:line="500" w:lineRule="exact"/>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pStyle w:val="863"/>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pStyle w:val="1012"/>
        <w:jc w:val="center"/>
        <w:spacing w:before="156" w:after="156" w:line="360" w:lineRule="auto"/>
        <w:rPr>
          <w:rFonts w:hint="eastAsia" w:ascii="黑体" w:hAnsi="黑体" w:eastAsia="黑体"/>
          <w:b w:val="0"/>
          <w:color w:val="auto"/>
          <w:highlight w:val="none"/>
        </w:rPr>
      </w:pPr>
      <w:r/>
      <w:bookmarkStart w:id="172" w:name="_Toc155796361"/>
      <w:r>
        <w:rPr>
          <w:rFonts w:hint="eastAsia" w:ascii="黑体" w:hAnsi="黑体" w:eastAsia="黑体"/>
          <w:b w:val="0"/>
          <w:color w:val="auto"/>
          <w:highlight w:val="none"/>
        </w:rPr>
        <w:t xml:space="preserve">第六章  投标文件格式</w:t>
      </w:r>
      <w:bookmarkEnd w:id="172"/>
      <w:r/>
      <w:r/>
    </w:p>
    <w:p>
      <w:pPr>
        <w:jc w:val="left"/>
        <w:spacing w:line="500" w:lineRule="exact"/>
        <w:rPr>
          <w:color w:val="auto"/>
          <w:sz w:val="24"/>
          <w:szCs w:val="24"/>
          <w:highlight w:val="none"/>
        </w:rPr>
      </w:pPr>
      <w:r>
        <w:rPr>
          <w:color w:val="auto"/>
          <w:sz w:val="24"/>
          <w:szCs w:val="24"/>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keepLines/>
        <w:keepNext/>
        <w:rPr>
          <w:rFonts w:ascii="Arial" w:hAnsi="Arial" w:eastAsia="黑体"/>
          <w:b/>
          <w:bCs/>
          <w:color w:val="auto"/>
          <w:sz w:val="32"/>
          <w:szCs w:val="32"/>
          <w:highlight w:val="none"/>
        </w:rPr>
        <w:outlineLvl w:val="1"/>
      </w:pPr>
      <w:r/>
      <w:bookmarkStart w:id="173" w:name="_Toc32532"/>
      <w:r>
        <w:rPr>
          <w:rFonts w:ascii="Arial" w:hAnsi="Arial" w:eastAsia="黑体"/>
          <w:b/>
          <w:bCs/>
          <w:color w:val="auto"/>
          <w:sz w:val="24"/>
          <w:szCs w:val="32"/>
          <w:highlight w:val="none"/>
        </w:rPr>
        <w:t xml:space="preserve">格式</w:t>
      </w:r>
      <w:r>
        <w:rPr>
          <w:rFonts w:hint="eastAsia" w:ascii="Arial" w:hAnsi="Arial" w:eastAsia="黑体"/>
          <w:b/>
          <w:bCs/>
          <w:color w:val="auto"/>
          <w:sz w:val="24"/>
          <w:szCs w:val="32"/>
          <w:highlight w:val="none"/>
        </w:rPr>
        <w:t xml:space="preserve">1、响应函</w:t>
      </w:r>
      <w:bookmarkEnd w:id="173"/>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 应 函</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致：【采购单位】</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标段（标段编号：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）采购文件，正式授权下述签字人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全权代表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参加贵方组织的采购活动，按照采购文件要求提交响应文件。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1.按采购文件项目需求提交响应报价，报价、交货期等详见开标一览表。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(5)参加此项采购活动前三年内，在经营活动中没有重大违法记录。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4.我方根据采购文件的规定，承担完成合同的责任和义务。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5.我方已详细审核采购文件，我方知道必须放弃提出含糊不清或误解问题的权利。</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7.同意应贵方要求提供与本次采购活动有关的任何数据或资料。</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8.我方完全理解，最低报价不是中标（成交）的唯一条件。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9.若贵方需要，我方愿意提供我方作出的一切承诺的证明材料。</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(6)拒绝有关部门监督检查或提供虚假情况的。</w:t>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法定代表人或其委托代理人签字（或盖章）：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供应商公章：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注：未按照本响应函的格式要求填写的，将造成非实质响应，从而导致该供应商响应无效。</w:t>
      </w:r>
      <w:bookmarkStart w:id="174" w:name="_Toc91256336"/>
      <w:r/>
      <w:bookmarkStart w:id="175" w:name="_Toc91183848"/>
      <w:r/>
      <w:r/>
    </w:p>
    <w:p>
      <w:pPr>
        <w:keepLines/>
        <w:keepNext/>
        <w:rPr>
          <w:rFonts w:ascii="Arial" w:hAnsi="Arial" w:eastAsia="黑体"/>
          <w:b/>
          <w:bCs/>
          <w:color w:val="auto"/>
          <w:sz w:val="32"/>
          <w:szCs w:val="32"/>
          <w:highlight w:val="none"/>
        </w:rPr>
        <w:outlineLvl w:val="1"/>
      </w:pPr>
      <w:r>
        <w:rPr>
          <w:rFonts w:ascii="Arial" w:hAnsi="Arial" w:eastAsia="黑体"/>
          <w:b/>
          <w:bCs/>
          <w:color w:val="auto"/>
          <w:sz w:val="32"/>
          <w:szCs w:val="32"/>
          <w:highlight w:val="none"/>
        </w:rPr>
        <w:br w:type="page" w:clear="all"/>
      </w:r>
      <w:bookmarkStart w:id="176" w:name="_Toc19898"/>
      <w:r>
        <w:rPr>
          <w:rFonts w:ascii="Arial" w:hAnsi="Arial" w:eastAsia="黑体"/>
          <w:b/>
          <w:bCs/>
          <w:color w:val="auto"/>
          <w:sz w:val="24"/>
          <w:szCs w:val="32"/>
          <w:highlight w:val="none"/>
        </w:rPr>
        <w:t xml:space="preserve">格式</w:t>
      </w:r>
      <w:r>
        <w:rPr>
          <w:rFonts w:hint="eastAsia" w:ascii="Arial" w:hAnsi="Arial" w:eastAsia="黑体"/>
          <w:b/>
          <w:bCs/>
          <w:color w:val="auto"/>
          <w:sz w:val="24"/>
          <w:szCs w:val="32"/>
          <w:highlight w:val="none"/>
        </w:rPr>
        <w:t xml:space="preserve">2、开标一览表</w:t>
      </w:r>
      <w:bookmarkEnd w:id="176"/>
      <w:r/>
      <w:r/>
    </w:p>
    <w:p>
      <w:pPr>
        <w:jc w:val="center"/>
        <w:rPr>
          <w:rFonts w:hint="eastAsia" w:ascii="宋体" w:hAnsi="宋体"/>
          <w:bCs/>
          <w:color w:val="auto"/>
          <w:sz w:val="24"/>
          <w:szCs w:val="24"/>
          <w:highlight w:val="none"/>
        </w:rPr>
      </w:pPr>
      <w:r>
        <w:rPr>
          <w:rFonts w:ascii="黑体" w:hAnsi="黑体" w:eastAsia="黑体" w:cs="宋体"/>
          <w:bCs/>
          <w:color w:val="auto"/>
          <w:sz w:val="36"/>
          <w:szCs w:val="28"/>
          <w:highlight w:val="none"/>
        </w:rPr>
        <w:t xml:space="preserve">开标一览表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标段编号：【标段编号】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标段名称：【标段名称】</w:t>
      </w:r>
      <w:r/>
    </w:p>
    <w:p>
      <w:pPr>
        <w:jc w:val="left"/>
        <w:rPr>
          <w:rFonts w:ascii="MS Mincho"/>
          <w:color w:val="auto"/>
          <w:sz w:val="24"/>
          <w:szCs w:val="24"/>
          <w:highlight w:val="none"/>
        </w:rPr>
      </w:pPr>
      <w:r>
        <w:rPr>
          <w:rFonts w:ascii="MS Mincho"/>
          <w:color w:val="auto"/>
          <w:sz w:val="24"/>
          <w:szCs w:val="24"/>
          <w:highlight w:val="none"/>
        </w:rPr>
      </w:r>
      <w:r/>
    </w:p>
    <w:tbl>
      <w:tblPr>
        <w:tblStyle w:val="8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5"/>
        <w:gridCol w:w="3796"/>
      </w:tblGrid>
      <w:tr>
        <w:trPr>
          <w:cantSplit/>
          <w:jc w:val="center"/>
          <w:trHeight w:val="1310"/>
        </w:trPr>
        <w:tc>
          <w:tcPr>
            <w:tcW w:w="5145" w:type="dxa"/>
            <w:vAlign w:val="center"/>
            <w:textDirection w:val="lrTb"/>
            <w:noWrap w:val="false"/>
          </w:tcPr>
          <w:p>
            <w:pPr>
              <w:jc w:val="center"/>
              <w:rPr>
                <w:rFonts w:hint="eastAsia" w:ascii="宋体" w:hAnsi="宋体"/>
                <w:bCs/>
                <w:color w:val="auto"/>
                <w:sz w:val="28"/>
                <w:szCs w:val="28"/>
                <w:highlight w:val="none"/>
              </w:rPr>
            </w:pPr>
            <w:r>
              <w:rPr>
                <w:rFonts w:ascii="宋体" w:hAnsi="宋体"/>
                <w:bCs/>
                <w:color w:val="auto"/>
                <w:sz w:val="28"/>
                <w:szCs w:val="28"/>
                <w:highlight w:val="none"/>
              </w:rPr>
              <w:t xml:space="preserve">标题</w:t>
            </w:r>
            <w:r/>
          </w:p>
        </w:tc>
        <w:tc>
          <w:tcPr>
            <w:tcW w:w="3796" w:type="dxa"/>
            <w:vAlign w:val="center"/>
            <w:textDirection w:val="lrTb"/>
            <w:noWrap w:val="false"/>
          </w:tcPr>
          <w:p>
            <w:pPr>
              <w:jc w:val="center"/>
              <w:rPr>
                <w:rFonts w:hint="eastAsia" w:ascii="宋体" w:hAnsi="宋体"/>
                <w:color w:val="auto"/>
                <w:sz w:val="28"/>
                <w:szCs w:val="28"/>
                <w:highlight w:val="none"/>
              </w:rPr>
            </w:pPr>
            <w:r>
              <w:rPr>
                <w:rFonts w:ascii="宋体" w:hAnsi="宋体"/>
                <w:color w:val="auto"/>
                <w:sz w:val="28"/>
                <w:szCs w:val="28"/>
                <w:highlight w:val="none"/>
              </w:rPr>
              <w:t xml:space="preserve">内容</w:t>
            </w:r>
            <w:r/>
          </w:p>
        </w:tc>
      </w:tr>
      <w:tr>
        <w:trPr>
          <w:cantSplit/>
          <w:jc w:val="center"/>
          <w:trHeight w:val="1310"/>
        </w:trPr>
        <w:tc>
          <w:tcPr>
            <w:tcW w:w="5145" w:type="dxa"/>
            <w:vAlign w:val="center"/>
            <w:textDirection w:val="lrTb"/>
            <w:noWrap w:val="false"/>
          </w:tcPr>
          <w:p>
            <w:pPr>
              <w:jc w:val="center"/>
              <w:rPr>
                <w:rFonts w:hint="eastAsia" w:ascii="宋体" w:hAnsi="宋体"/>
                <w:bCs/>
                <w:color w:val="auto"/>
                <w:sz w:val="28"/>
                <w:szCs w:val="28"/>
                <w:highlight w:val="none"/>
              </w:rPr>
            </w:pPr>
            <w:r>
              <w:rPr>
                <w:rFonts w:ascii="宋体" w:hAnsi="宋体"/>
                <w:bCs/>
                <w:color w:val="auto"/>
                <w:sz w:val="28"/>
                <w:szCs w:val="28"/>
                <w:highlight w:val="none"/>
              </w:rPr>
              <w:t xml:space="preserve">投标</w:t>
            </w:r>
            <w:r>
              <w:rPr>
                <w:rFonts w:hint="eastAsia" w:ascii="宋体" w:hAnsi="宋体"/>
                <w:bCs/>
                <w:color w:val="auto"/>
                <w:sz w:val="28"/>
                <w:szCs w:val="28"/>
                <w:highlight w:val="none"/>
              </w:rPr>
              <w:t xml:space="preserve">总</w:t>
            </w:r>
            <w:r>
              <w:rPr>
                <w:rFonts w:ascii="宋体" w:hAnsi="宋体"/>
                <w:bCs/>
                <w:color w:val="auto"/>
                <w:sz w:val="28"/>
                <w:szCs w:val="28"/>
                <w:highlight w:val="none"/>
              </w:rPr>
              <w:t xml:space="preserve">价</w:t>
            </w:r>
            <w:r/>
          </w:p>
        </w:tc>
        <w:tc>
          <w:tcPr>
            <w:tcW w:w="3796" w:type="dxa"/>
            <w:vAlign w:val="center"/>
            <w:textDirection w:val="lrTb"/>
            <w:noWrap w:val="false"/>
          </w:tcPr>
          <w:p>
            <w:pPr>
              <w:jc w:val="center"/>
              <w:rPr>
                <w:rFonts w:hint="eastAsia" w:ascii="宋体" w:hAnsi="宋体"/>
                <w:color w:val="auto"/>
                <w:sz w:val="28"/>
                <w:szCs w:val="28"/>
                <w:highlight w:val="none"/>
              </w:rPr>
            </w:pPr>
            <w:r>
              <w:rPr>
                <w:rFonts w:hint="eastAsia" w:ascii="宋体" w:hAnsi="宋体" w:cs="宋体"/>
                <w:color w:val="auto"/>
                <w:sz w:val="24"/>
                <w:highlight w:val="none"/>
              </w:rPr>
              <w:t xml:space="preserve"> </w:t>
            </w:r>
            <w:r/>
          </w:p>
        </w:tc>
      </w:tr>
      <w:tr>
        <w:trPr>
          <w:cantSplit/>
          <w:jc w:val="center"/>
          <w:trHeight w:val="1310"/>
        </w:trPr>
        <w:tc>
          <w:tcPr>
            <w:tcW w:w="5145" w:type="dxa"/>
            <w:vAlign w:val="center"/>
            <w:textDirection w:val="lrTb"/>
            <w:noWrap w:val="false"/>
          </w:tcPr>
          <w:p>
            <w:pPr>
              <w:jc w:val="center"/>
              <w:rPr>
                <w:rFonts w:hint="eastAsia" w:ascii="宋体" w:hAnsi="宋体"/>
                <w:bCs/>
                <w:color w:val="auto"/>
                <w:sz w:val="28"/>
                <w:szCs w:val="28"/>
                <w:highlight w:val="none"/>
              </w:rPr>
            </w:pPr>
            <w:r>
              <w:rPr>
                <w:rFonts w:ascii="宋体" w:hAnsi="宋体"/>
                <w:bCs/>
                <w:color w:val="auto"/>
                <w:sz w:val="28"/>
                <w:szCs w:val="28"/>
                <w:highlight w:val="none"/>
              </w:rPr>
              <w:t xml:space="preserve">服务期限</w:t>
            </w:r>
            <w:r/>
          </w:p>
        </w:tc>
        <w:tc>
          <w:tcPr>
            <w:tcW w:w="3796" w:type="dxa"/>
            <w:vAlign w:val="center"/>
            <w:textDirection w:val="lrTb"/>
            <w:noWrap w:val="false"/>
          </w:tcPr>
          <w:p>
            <w:pPr>
              <w:jc w:val="center"/>
              <w:rPr>
                <w:rFonts w:hint="eastAsia" w:ascii="宋体" w:hAnsi="宋体"/>
                <w:color w:val="auto"/>
                <w:sz w:val="28"/>
                <w:szCs w:val="28"/>
                <w:highlight w:val="none"/>
              </w:rPr>
            </w:pPr>
            <w:r>
              <w:rPr>
                <w:rFonts w:hint="eastAsia" w:ascii="宋体" w:hAnsi="宋体"/>
                <w:color w:val="auto"/>
                <w:sz w:val="28"/>
                <w:szCs w:val="28"/>
                <w:highlight w:val="none"/>
              </w:rPr>
              <w:t xml:space="preserve"> </w:t>
            </w:r>
            <w:r/>
          </w:p>
        </w:tc>
      </w:tr>
    </w:tbl>
    <w:p>
      <w:pPr>
        <w:pStyle w:val="857"/>
        <w:ind w:firstLine="240"/>
        <w:jc w:val="both"/>
        <w:spacing w:before="0" w:beforeAutospacing="0" w:after="0" w:afterAutospacing="0"/>
        <w:widowControl w:val="off"/>
        <w:rPr>
          <w:rFonts w:hint="eastAsia"/>
          <w:color w:val="auto"/>
          <w:highlight w:val="none"/>
        </w:rPr>
      </w:pPr>
      <w:r>
        <w:rPr>
          <w:rFonts w:hint="eastAsia"/>
          <w:color w:val="auto"/>
          <w:szCs w:val="24"/>
          <w:highlight w:val="none"/>
        </w:rPr>
        <w:t xml:space="preserve">备注：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keepLines/>
        <w:keepNext/>
        <w:rPr>
          <w:rFonts w:hint="eastAsia" w:ascii="宋体" w:hAnsi="宋体" w:eastAsia="黑体"/>
          <w:bCs/>
          <w:color w:val="auto"/>
          <w:sz w:val="32"/>
          <w:szCs w:val="21"/>
          <w:highlight w:val="none"/>
        </w:rPr>
        <w:outlineLvl w:val="1"/>
      </w:pPr>
      <w:r>
        <w:rPr>
          <w:rFonts w:ascii="宋体" w:hAnsi="宋体" w:eastAsia="黑体"/>
          <w:b/>
          <w:color w:val="auto"/>
          <w:sz w:val="24"/>
          <w:szCs w:val="32"/>
          <w:highlight w:val="none"/>
        </w:rPr>
        <w:br w:type="page" w:clear="all"/>
      </w:r>
      <w:bookmarkStart w:id="177" w:name="_Toc3399"/>
      <w:r>
        <w:rPr>
          <w:rFonts w:ascii="Arial" w:hAnsi="Arial" w:eastAsia="黑体"/>
          <w:b/>
          <w:bCs/>
          <w:color w:val="auto"/>
          <w:sz w:val="24"/>
          <w:szCs w:val="32"/>
          <w:highlight w:val="none"/>
        </w:rPr>
        <w:t xml:space="preserve">格式</w:t>
      </w:r>
      <w:r>
        <w:rPr>
          <w:rFonts w:hint="eastAsia" w:ascii="Arial" w:hAnsi="Arial" w:eastAsia="黑体"/>
          <w:b/>
          <w:bCs/>
          <w:color w:val="auto"/>
          <w:sz w:val="24"/>
          <w:szCs w:val="32"/>
          <w:highlight w:val="none"/>
        </w:rPr>
        <w:t xml:space="preserve">3、详细报价书</w:t>
      </w:r>
      <w:bookmarkEnd w:id="177"/>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pStyle w:val="864"/>
        <w:spacing w:line="256" w:lineRule="auto"/>
        <w:rPr>
          <w:color w:val="auto"/>
          <w:highlight w:val="none"/>
        </w:rPr>
      </w:pPr>
      <w:r>
        <w:rPr>
          <w:color w:val="auto"/>
          <w:highlight w:val="none"/>
        </w:rPr>
      </w:r>
      <w:r/>
    </w:p>
    <w:p>
      <w:pPr>
        <w:jc w:val="center"/>
        <w:keepNext/>
        <w:spacing w:line="360" w:lineRule="auto"/>
        <w:widowControl/>
        <w:rPr>
          <w:rFonts w:hint="eastAsia" w:ascii="宋体" w:hAnsi="宋体" w:cs="宋体"/>
          <w:color w:val="auto"/>
          <w:sz w:val="24"/>
          <w:szCs w:val="24"/>
          <w:highlight w:val="none"/>
          <w:lang w:bidi="ar"/>
        </w:rPr>
      </w:pPr>
      <w:r>
        <w:rPr>
          <w:rFonts w:hint="eastAsia" w:ascii="宋体" w:hAnsi="宋体" w:cs="宋体"/>
          <w:b/>
          <w:color w:val="auto"/>
          <w:sz w:val="36"/>
          <w:szCs w:val="36"/>
          <w:highlight w:val="none"/>
          <w:lang w:val="en-US" w:eastAsia="zh-CN"/>
        </w:rPr>
        <w:t xml:space="preserve">分项</w:t>
      </w:r>
      <w:r>
        <w:rPr>
          <w:rFonts w:hint="eastAsia" w:ascii="宋体" w:hAnsi="宋体" w:cs="宋体"/>
          <w:b/>
          <w:color w:val="auto"/>
          <w:sz w:val="36"/>
          <w:szCs w:val="36"/>
          <w:highlight w:val="none"/>
        </w:rPr>
        <w:t xml:space="preserve">报价表</w:t>
      </w:r>
      <w:r/>
    </w:p>
    <w:p>
      <w:pPr>
        <w:jc w:val="left"/>
        <w:keepNex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pStyle w:val="863"/>
        <w:keepNext/>
        <w:widowControl/>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pStyle w:val="1051"/>
        <w:keepNex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Cs/>
          <w:color w:val="auto"/>
          <w:sz w:val="24"/>
          <w:szCs w:val="24"/>
          <w:highlight w:val="none"/>
        </w:rPr>
        <w:t xml:space="preserve">单位：人民币元</w:t>
      </w:r>
      <w:r/>
    </w:p>
    <w:tbl>
      <w:tblPr>
        <w:tblStyle w:val="838"/>
        <w:tblW w:w="86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62"/>
        <w:gridCol w:w="2033"/>
        <w:gridCol w:w="1751"/>
        <w:gridCol w:w="2145"/>
      </w:tblGrid>
      <w:tr>
        <w:trPr>
          <w:cantSplit/>
          <w:jc w:val="center"/>
          <w:trHeight w:val="453"/>
        </w:trPr>
        <w:tc>
          <w:tcPr>
            <w:tcW w:w="727" w:type="dxa"/>
            <w:vAlign w:val="center"/>
            <w:textDirection w:val="lrTb"/>
            <w:noWrap w:val="false"/>
          </w:tcPr>
          <w:p>
            <w:pPr>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62" w:type="dxa"/>
            <w:vAlign w:val="center"/>
            <w:textDirection w:val="lrTb"/>
            <w:noWrap w:val="false"/>
          </w:tcPr>
          <w:p>
            <w:pPr>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产品、服务名称</w:t>
            </w:r>
            <w:r/>
          </w:p>
        </w:tc>
        <w:tc>
          <w:tcPr>
            <w:tcW w:w="2033" w:type="dxa"/>
            <w:vAlign w:val="center"/>
            <w:textDirection w:val="lrTb"/>
            <w:noWrap w:val="false"/>
          </w:tcPr>
          <w:p>
            <w:pPr>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w:t>
            </w:r>
            <w:r/>
          </w:p>
          <w:p>
            <w:pPr>
              <w:jc w:val="both"/>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元/天</w:t>
            </w:r>
            <w:r>
              <w:rPr>
                <w:rFonts w:hint="eastAsia" w:ascii="宋体" w:hAnsi="宋体" w:cs="宋体"/>
                <w:color w:val="auto"/>
                <w:sz w:val="24"/>
                <w:szCs w:val="24"/>
                <w:highlight w:val="none"/>
                <w:lang w:val="en-US" w:eastAsia="zh-CN"/>
              </w:rPr>
              <w:t xml:space="preserve">或元</w:t>
            </w:r>
            <w:r>
              <w:rPr>
                <w:rFonts w:hint="eastAsia" w:ascii="宋体" w:hAnsi="宋体" w:cs="宋体"/>
                <w:color w:val="auto"/>
                <w:sz w:val="24"/>
                <w:szCs w:val="24"/>
                <w:highlight w:val="none"/>
              </w:rPr>
              <w:t xml:space="preserve">）</w:t>
            </w:r>
            <w:r/>
          </w:p>
          <w:p>
            <w:pPr>
              <w:jc w:val="center"/>
              <w:keepNex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751" w:type="dxa"/>
            <w:vAlign w:val="center"/>
            <w:textDirection w:val="lrTb"/>
            <w:noWrap w:val="false"/>
          </w:tcPr>
          <w:p>
            <w:pPr>
              <w:jc w:val="center"/>
              <w:keepNex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合计（元）</w:t>
            </w:r>
            <w:r/>
          </w:p>
        </w:tc>
        <w:tc>
          <w:tcPr>
            <w:tcW w:w="2145" w:type="dxa"/>
            <w:vAlign w:val="center"/>
            <w:textDirection w:val="lrTb"/>
            <w:noWrap w:val="false"/>
          </w:tcPr>
          <w:p>
            <w:pPr>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568"/>
        </w:trPr>
        <w:tc>
          <w:tcPr>
            <w:tcW w:w="727" w:type="dxa"/>
            <w:vAlign w:val="center"/>
            <w:textDirection w:val="lrTb"/>
            <w:noWrap w:val="false"/>
          </w:tcPr>
          <w:p>
            <w:pPr>
              <w:jc w:val="center"/>
              <w:keepNex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2" w:type="dxa"/>
            <w:vAlign w:val="center"/>
            <w:textDirection w:val="lrTb"/>
            <w:noWrap w:val="false"/>
          </w:tcPr>
          <w:p>
            <w:pPr>
              <w:jc w:val="center"/>
              <w:keepNex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2033"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1"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45"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53"/>
        </w:trPr>
        <w:tc>
          <w:tcPr>
            <w:tcW w:w="727" w:type="dxa"/>
            <w:vAlign w:val="center"/>
            <w:textDirection w:val="lrTb"/>
            <w:noWrap w:val="false"/>
          </w:tcPr>
          <w:p>
            <w:pPr>
              <w:jc w:val="center"/>
              <w:keepNex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2"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33"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1"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45"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53"/>
        </w:trPr>
        <w:tc>
          <w:tcPr>
            <w:tcW w:w="727"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62"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33"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1"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45"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53"/>
        </w:trPr>
        <w:tc>
          <w:tcPr>
            <w:tcW w:w="727"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62"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33"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1"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45"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71"/>
        </w:trPr>
        <w:tc>
          <w:tcPr>
            <w:tcW w:w="727"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62"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33"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1"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45" w:type="dxa"/>
            <w:vAlign w:val="center"/>
            <w:textDirection w:val="lrTb"/>
            <w:noWrap w:val="false"/>
          </w:tcPr>
          <w:p>
            <w:pPr>
              <w:ind w:firstLine="480"/>
              <w:jc w:val="center"/>
              <w:keepNex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keepNex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560"/>
        <w:keepNext/>
        <w:spacing w:line="360" w:lineRule="auto"/>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供应商（加盖</w:t>
      </w:r>
      <w:r>
        <w:rPr>
          <w:rFonts w:ascii="Times New Roman" w:hAnsi="Times New Roman"/>
          <w:color w:val="auto"/>
          <w:sz w:val="24"/>
          <w:szCs w:val="24"/>
          <w:highlight w:val="none"/>
        </w:rPr>
        <w:t xml:space="preserve">CA电子公章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ind w:firstLine="5040"/>
        <w:keepNex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rPr>
          <w:rFonts w:ascii="Times New Roman" w:hAnsi="Times New Roman"/>
          <w:color w:val="auto"/>
          <w:highlight w:val="none"/>
        </w:rPr>
      </w:pPr>
      <w:r>
        <w:rPr>
          <w:rFonts w:ascii="Times New Roman" w:hAnsi="Times New Roman"/>
          <w:color w:val="auto"/>
          <w:highlight w:val="none"/>
        </w:rPr>
      </w:r>
      <w:r/>
    </w:p>
    <w:p>
      <w:pPr>
        <w:ind w:left="233"/>
        <w:spacing w:before="65" w:line="227" w:lineRule="auto"/>
        <w:rPr>
          <w:rFonts w:hint="eastAsia" w:ascii="宋体" w:hAnsi="宋体" w:cs="宋体"/>
          <w:color w:val="auto"/>
          <w:sz w:val="28"/>
          <w:szCs w:val="28"/>
          <w:highlight w:val="none"/>
        </w:rPr>
      </w:pPr>
      <w:r/>
      <w:bookmarkStart w:id="178" w:name="bookmark31"/>
      <w:r/>
      <w:bookmarkEnd w:id="178"/>
      <w:r>
        <w:rPr>
          <w:rFonts w:ascii="宋体" w:hAnsi="宋体" w:cs="宋体"/>
          <w:color w:val="auto"/>
          <w:spacing w:val="8"/>
          <w:sz w:val="28"/>
          <w:szCs w:val="28"/>
          <w:highlight w:val="none"/>
        </w:rPr>
        <w:t xml:space="preserve">投标人名称（公章</w:t>
      </w:r>
      <w:r>
        <w:rPr>
          <w:rFonts w:ascii="宋体" w:hAnsi="宋体" w:cs="宋体"/>
          <w:color w:val="auto"/>
          <w:spacing w:val="1"/>
          <w:sz w:val="28"/>
          <w:szCs w:val="28"/>
          <w:highlight w:val="none"/>
        </w:rPr>
        <w:t xml:space="preserve">）：</w:t>
      </w:r>
      <w:r/>
    </w:p>
    <w:p>
      <w:pPr>
        <w:ind w:left="231"/>
        <w:spacing w:before="114" w:line="227" w:lineRule="auto"/>
        <w:rPr>
          <w:rFonts w:hint="eastAsia" w:ascii="宋体" w:hAnsi="宋体" w:cs="宋体"/>
          <w:color w:val="auto"/>
          <w:sz w:val="28"/>
          <w:szCs w:val="28"/>
          <w:highlight w:val="none"/>
        </w:rPr>
      </w:pPr>
      <w:r>
        <w:rPr>
          <w:rFonts w:ascii="宋体" w:hAnsi="宋体" w:cs="宋体"/>
          <w:color w:val="auto"/>
          <w:spacing w:val="9"/>
          <w:sz w:val="28"/>
          <w:szCs w:val="28"/>
          <w:highlight w:val="none"/>
        </w:rPr>
        <w:t xml:space="preserve">法定代表人或代理人（签字或盖章</w:t>
      </w:r>
      <w:r>
        <w:rPr>
          <w:rFonts w:ascii="宋体" w:hAnsi="宋体" w:cs="宋体"/>
          <w:color w:val="auto"/>
          <w:spacing w:val="1"/>
          <w:sz w:val="28"/>
          <w:szCs w:val="28"/>
          <w:highlight w:val="none"/>
        </w:rPr>
        <w:t xml:space="preserve">）：</w:t>
      </w:r>
      <w:r/>
    </w:p>
    <w:p>
      <w:pPr>
        <w:ind w:left="266"/>
        <w:spacing w:before="114" w:line="228" w:lineRule="auto"/>
        <w:rPr>
          <w:rFonts w:hint="eastAsia" w:ascii="宋体" w:hAnsi="宋体" w:cs="宋体"/>
          <w:color w:val="auto"/>
          <w:sz w:val="28"/>
          <w:szCs w:val="28"/>
          <w:highlight w:val="none"/>
        </w:rPr>
      </w:pPr>
      <w:r>
        <w:rPr>
          <w:rFonts w:ascii="宋体" w:hAnsi="宋体" w:cs="宋体"/>
          <w:color w:val="auto"/>
          <w:spacing w:val="-6"/>
          <w:sz w:val="28"/>
          <w:szCs w:val="28"/>
          <w:highlight w:val="none"/>
        </w:rPr>
        <w:t xml:space="preserve">日期：</w:t>
      </w:r>
      <w:r>
        <w:rPr>
          <w:rFonts w:ascii="宋体" w:hAnsi="宋体" w:cs="宋体"/>
          <w:color w:val="auto"/>
          <w:spacing w:val="9"/>
          <w:sz w:val="28"/>
          <w:szCs w:val="28"/>
          <w:highlight w:val="none"/>
        </w:rPr>
        <w:t xml:space="preserve">      </w:t>
      </w:r>
      <w:r>
        <w:rPr>
          <w:rFonts w:ascii="宋体" w:hAnsi="宋体" w:cs="宋体"/>
          <w:color w:val="auto"/>
          <w:spacing w:val="-6"/>
          <w:sz w:val="28"/>
          <w:szCs w:val="28"/>
          <w:highlight w:val="none"/>
        </w:rPr>
        <w:t xml:space="preserve">年</w:t>
      </w:r>
      <w:r>
        <w:rPr>
          <w:rFonts w:ascii="宋体" w:hAnsi="宋体" w:cs="宋体"/>
          <w:color w:val="auto"/>
          <w:spacing w:val="12"/>
          <w:sz w:val="28"/>
          <w:szCs w:val="28"/>
          <w:highlight w:val="none"/>
        </w:rPr>
        <w:t xml:space="preserve">  </w:t>
      </w:r>
      <w:r>
        <w:rPr>
          <w:rFonts w:ascii="宋体" w:hAnsi="宋体" w:cs="宋体"/>
          <w:color w:val="auto"/>
          <w:spacing w:val="-6"/>
          <w:sz w:val="28"/>
          <w:szCs w:val="28"/>
          <w:highlight w:val="none"/>
        </w:rPr>
        <w:t xml:space="preserve">月</w:t>
      </w:r>
      <w:r>
        <w:rPr>
          <w:rFonts w:ascii="宋体" w:hAnsi="宋体" w:cs="宋体"/>
          <w:color w:val="auto"/>
          <w:spacing w:val="20"/>
          <w:sz w:val="28"/>
          <w:szCs w:val="28"/>
          <w:highlight w:val="none"/>
        </w:rPr>
        <w:t xml:space="preserve">   </w:t>
      </w:r>
      <w:r>
        <w:rPr>
          <w:rFonts w:ascii="宋体" w:hAnsi="宋体" w:cs="宋体"/>
          <w:color w:val="auto"/>
          <w:spacing w:val="-6"/>
          <w:sz w:val="28"/>
          <w:szCs w:val="28"/>
          <w:highlight w:val="none"/>
        </w:rPr>
        <w:t xml:space="preserve">日</w:t>
      </w:r>
      <w:r/>
    </w:p>
    <w:p>
      <w:pPr>
        <w:spacing w:line="228" w:lineRule="auto"/>
        <w:rPr>
          <w:rFonts w:hint="eastAsia" w:ascii="宋体" w:hAnsi="宋体" w:cs="宋体"/>
          <w:color w:val="auto"/>
          <w:sz w:val="28"/>
          <w:szCs w:val="28"/>
          <w:highlight w:val="none"/>
        </w:rPr>
        <w:sectPr>
          <w:footerReference w:type="default" r:id="rId10"/>
          <w:footnotePr/>
          <w:endnotePr/>
          <w:type w:val="nextPage"/>
          <w:pgSz w:w="11906" w:h="16839" w:orient="portrait"/>
          <w:pgMar w:top="1252" w:right="1301" w:bottom="1362" w:left="1785" w:header="851" w:footer="1200" w:gutter="0"/>
          <w:cols w:num="1" w:sep="0" w:space="1701" w:equalWidth="1"/>
          <w:docGrid w:linePitch="360"/>
        </w:sectPr>
      </w:pPr>
      <w:r>
        <w:rPr>
          <w:rFonts w:hint="eastAsia" w:ascii="宋体" w:hAnsi="宋体" w:cs="宋体"/>
          <w:color w:val="auto"/>
          <w:sz w:val="28"/>
          <w:szCs w:val="28"/>
          <w:highlight w:val="none"/>
        </w:rPr>
      </w:r>
      <w:bookmarkEnd w:id="174"/>
      <w:r/>
      <w:bookmarkEnd w:id="175"/>
      <w:r/>
      <w:r/>
    </w:p>
    <w:p>
      <w:pPr>
        <w:keepLines/>
        <w:keepNext/>
        <w:rPr>
          <w:rFonts w:ascii="Arial" w:hAnsi="Arial" w:eastAsia="黑体"/>
          <w:b/>
          <w:bCs/>
          <w:color w:val="auto"/>
          <w:sz w:val="24"/>
          <w:szCs w:val="32"/>
          <w:highlight w:val="none"/>
        </w:rPr>
        <w:outlineLvl w:val="1"/>
      </w:pPr>
      <w:r/>
      <w:bookmarkStart w:id="179" w:name="_Toc3953"/>
      <w:r>
        <w:rPr>
          <w:rFonts w:ascii="Arial" w:hAnsi="Arial" w:eastAsia="黑体"/>
          <w:b/>
          <w:bCs/>
          <w:color w:val="auto"/>
          <w:sz w:val="24"/>
          <w:szCs w:val="32"/>
          <w:highlight w:val="none"/>
        </w:rPr>
        <w:t xml:space="preserve">格式</w:t>
      </w:r>
      <w:r>
        <w:rPr>
          <w:rFonts w:hint="eastAsia" w:ascii="Arial" w:hAnsi="Arial" w:eastAsia="黑体"/>
          <w:b/>
          <w:bCs/>
          <w:color w:val="auto"/>
          <w:sz w:val="24"/>
          <w:szCs w:val="32"/>
          <w:highlight w:val="none"/>
        </w:rPr>
        <w:t xml:space="preserve">4、具备履行合同所必需的设备和专业技术能力的声明及证明材料</w:t>
      </w:r>
      <w:bookmarkEnd w:id="179"/>
      <w:r/>
      <w:r/>
    </w:p>
    <w:p>
      <w:pPr>
        <w:rPr>
          <w:rFonts w:ascii="Times New Roman" w:hAnsi="Times New Roman"/>
          <w:color w:val="auto"/>
          <w:szCs w:val="24"/>
          <w:highlight w:val="none"/>
        </w:rPr>
      </w:pPr>
      <w:r>
        <w:rPr>
          <w:rFonts w:ascii="Times New Roman" w:hAnsi="Times New Roman"/>
          <w:color w:val="auto"/>
          <w:szCs w:val="24"/>
          <w:highlight w:val="none"/>
        </w:rPr>
      </w:r>
      <w:r/>
    </w:p>
    <w:p>
      <w:pPr>
        <w:jc w:val="center"/>
        <w:rPr>
          <w:rFonts w:ascii="Times New Roman" w:hAnsi="Times New Roman"/>
          <w:color w:val="auto"/>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（供应商名称）</w:t>
      </w:r>
      <w:r>
        <w:rPr>
          <w:rFonts w:hint="eastAsia" w:ascii="Times New Roman" w:hAnsi="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主要设备有：</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主要专业技术能力有：</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w:t>
      </w:r>
      <w:r/>
    </w:p>
    <w:p>
      <w:pPr>
        <w:ind w:firstLine="482"/>
        <w:spacing w:line="360" w:lineRule="auto"/>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注：须附证明材料。</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声明人（盖章）：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ind w:firstLine="422"/>
        <w:spacing w:line="460" w:lineRule="exact"/>
        <w:rPr>
          <w:rFonts w:ascii="Times New Roman" w:hAnsi="Times New Roman"/>
          <w:b/>
          <w:color w:val="auto"/>
          <w:szCs w:val="24"/>
          <w:highlight w:val="none"/>
        </w:rPr>
      </w:pPr>
      <w:r>
        <w:rPr>
          <w:rFonts w:ascii="Times New Roman" w:hAnsi="Times New Roman"/>
          <w:b/>
          <w:color w:val="auto"/>
          <w:szCs w:val="24"/>
          <w:highlight w:val="none"/>
        </w:rPr>
      </w:r>
      <w:r/>
    </w:p>
    <w:p>
      <w:pPr>
        <w:keepLines/>
        <w:keepNext/>
        <w:rPr>
          <w:rFonts w:ascii="Arial" w:hAnsi="Arial" w:eastAsia="黑体"/>
          <w:bCs/>
          <w:color w:val="auto"/>
          <w:sz w:val="32"/>
          <w:szCs w:val="32"/>
          <w:highlight w:val="none"/>
        </w:rPr>
        <w:outlineLvl w:val="1"/>
      </w:pPr>
      <w:r>
        <w:rPr>
          <w:rFonts w:ascii="Arial" w:hAnsi="Arial" w:eastAsia="黑体"/>
          <w:bCs/>
          <w:color w:val="auto"/>
          <w:sz w:val="32"/>
          <w:szCs w:val="32"/>
          <w:highlight w:val="none"/>
        </w:rPr>
        <w:br w:type="page" w:clear="all"/>
      </w:r>
      <w:bookmarkStart w:id="180" w:name="_Toc31607"/>
      <w:r>
        <w:rPr>
          <w:rFonts w:ascii="Arial" w:hAnsi="Arial" w:eastAsia="黑体"/>
          <w:b/>
          <w:bCs/>
          <w:color w:val="auto"/>
          <w:sz w:val="24"/>
          <w:szCs w:val="32"/>
          <w:highlight w:val="none"/>
        </w:rPr>
        <w:t xml:space="preserve">格式</w:t>
      </w:r>
      <w:r>
        <w:rPr>
          <w:rFonts w:hint="eastAsia" w:ascii="Arial" w:hAnsi="Arial" w:eastAsia="黑体"/>
          <w:b/>
          <w:bCs/>
          <w:color w:val="auto"/>
          <w:sz w:val="24"/>
          <w:szCs w:val="32"/>
          <w:highlight w:val="none"/>
        </w:rPr>
        <w:t xml:space="preserve">5、参加政府采购活动前3年内在经营活动中没有重大违法记录的书面声明</w:t>
      </w:r>
      <w:bookmarkEnd w:id="180"/>
      <w:r/>
      <w:r/>
    </w:p>
    <w:p>
      <w:pPr>
        <w:ind w:firstLine="422"/>
        <w:spacing w:line="460" w:lineRule="exact"/>
        <w:rPr>
          <w:rFonts w:ascii="Times New Roman" w:hAnsi="Times New Roman"/>
          <w:b/>
          <w:color w:val="auto"/>
          <w:szCs w:val="24"/>
          <w:highlight w:val="none"/>
        </w:rPr>
      </w:pPr>
      <w:r>
        <w:rPr>
          <w:rFonts w:ascii="Times New Roman" w:hAnsi="Times New Roman"/>
          <w:b/>
          <w:color w:val="auto"/>
          <w:szCs w:val="24"/>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keepLines/>
        <w:keepNext/>
        <w:rPr>
          <w:rFonts w:ascii="Arial" w:hAnsi="Arial"/>
          <w:b/>
          <w:bCs/>
          <w:color w:val="auto"/>
          <w:sz w:val="32"/>
          <w:szCs w:val="32"/>
          <w:highlight w:val="none"/>
        </w:rPr>
        <w:outlineLvl w:val="1"/>
      </w:pPr>
      <w:r>
        <w:rPr>
          <w:rFonts w:ascii="宋体" w:hAnsi="宋体" w:eastAsia="黑体"/>
          <w:b/>
          <w:bCs/>
          <w:color w:val="auto"/>
          <w:sz w:val="24"/>
          <w:szCs w:val="32"/>
          <w:highlight w:val="none"/>
        </w:rPr>
        <w:br w:type="page" w:clear="all"/>
      </w:r>
      <w:bookmarkStart w:id="181" w:name="_Toc13529"/>
      <w:r>
        <w:rPr>
          <w:rFonts w:hint="eastAsia" w:ascii="Arial" w:hAnsi="Arial" w:eastAsia="黑体"/>
          <w:b/>
          <w:bCs/>
          <w:color w:val="auto"/>
          <w:sz w:val="24"/>
          <w:szCs w:val="32"/>
          <w:highlight w:val="none"/>
        </w:rPr>
        <w:t xml:space="preserve">格式6、法定代表人授权委托书</w:t>
      </w:r>
      <w:bookmarkEnd w:id="181"/>
      <w:r/>
      <w:r/>
    </w:p>
    <w:p>
      <w:pPr>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pPr>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【采购单位】：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本授权书声明：注册于</w:t>
      </w:r>
      <w:r>
        <w:rPr>
          <w:rFonts w:hint="eastAsia" w:ascii="宋体" w:hAnsi="宋体"/>
          <w:color w:val="auto"/>
          <w:sz w:val="24"/>
          <w:szCs w:val="24"/>
          <w:highlight w:val="none"/>
          <w:u w:val="single"/>
        </w:rPr>
        <w:t xml:space="preserve">  （委托单位全称） </w:t>
      </w:r>
      <w:r>
        <w:rPr>
          <w:rFonts w:hint="eastAsia" w:ascii="宋体" w:hAnsi="宋体"/>
          <w:color w:val="auto"/>
          <w:sz w:val="24"/>
          <w:szCs w:val="24"/>
          <w:highlight w:val="none"/>
        </w:rPr>
        <w:t xml:space="preserve">的法定代表人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代表本公司授权</w:t>
      </w:r>
      <w:r>
        <w:rPr>
          <w:rFonts w:hint="eastAsia" w:ascii="宋体" w:hAnsi="宋体"/>
          <w:color w:val="auto"/>
          <w:sz w:val="24"/>
          <w:szCs w:val="24"/>
          <w:highlight w:val="none"/>
          <w:u w:val="single"/>
        </w:rPr>
        <w:t xml:space="preserve">（姓名和职务）</w:t>
      </w:r>
      <w:r>
        <w:rPr>
          <w:rFonts w:hint="eastAsia" w:ascii="宋体" w:hAnsi="宋体"/>
          <w:color w:val="auto"/>
          <w:sz w:val="24"/>
          <w:szCs w:val="24"/>
          <w:highlight w:val="none"/>
        </w:rPr>
        <w:t xml:space="preserve">为本公司合法代理人，就贵方组织的有关</w:t>
      </w:r>
      <w:r>
        <w:rPr>
          <w:rFonts w:hint="eastAsia" w:ascii="宋体" w:hAnsi="宋体"/>
          <w:color w:val="auto"/>
          <w:sz w:val="24"/>
          <w:szCs w:val="24"/>
          <w:highlight w:val="none"/>
          <w:u w:val="single"/>
        </w:rPr>
        <w:t xml:space="preserve">【标段名称】</w:t>
      </w:r>
      <w:r>
        <w:rPr>
          <w:rFonts w:hint="eastAsia" w:ascii="宋体" w:hAnsi="宋体"/>
          <w:color w:val="auto"/>
          <w:sz w:val="24"/>
          <w:szCs w:val="24"/>
          <w:highlight w:val="none"/>
        </w:rPr>
        <w:t xml:space="preserve">项目（标段编号：</w:t>
      </w:r>
      <w:r>
        <w:rPr>
          <w:rFonts w:hint="eastAsia" w:ascii="宋体" w:hAnsi="宋体"/>
          <w:color w:val="auto"/>
          <w:sz w:val="24"/>
          <w:szCs w:val="24"/>
          <w:highlight w:val="none"/>
          <w:u w:val="single"/>
        </w:rPr>
        <w:t xml:space="preserve">【标段编号】</w:t>
      </w:r>
      <w:r>
        <w:rPr>
          <w:rFonts w:hint="eastAsia" w:ascii="宋体" w:hAnsi="宋体"/>
          <w:color w:val="auto"/>
          <w:sz w:val="24"/>
          <w:szCs w:val="24"/>
          <w:highlight w:val="none"/>
        </w:rPr>
        <w:t xml:space="preserve">）的招标采购及合同签订、执行、完成，以本单位名义处理一切与之有关的事务。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本授权书于</w:t>
      </w:r>
      <w:r>
        <w:rPr>
          <w:rFonts w:hint="eastAsia" w:ascii="宋体" w:hAnsi="宋体"/>
          <w:color w:val="auto"/>
          <w:spacing w:val="10"/>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日签字（或盖章）生效，特此声明。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委托单位（盖章）：                      法定代表人（签字或盖章）：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签发日期：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附法定代表人与委托代理人身份证明正反面电子件。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1．委托书内容填写应当明确、文字工整清楚，涂改无效。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2．委托书不得转借、转让、买卖。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3．委托代理人根据授权范围，以委托单位的名义签订合同，并将此委托书提交给采购单位作为合同附件。</w:t>
      </w:r>
      <w:r/>
    </w:p>
    <w:p>
      <w:pPr>
        <w:keepLines/>
        <w:keepNext/>
        <w:rPr>
          <w:rFonts w:ascii="Arial" w:hAnsi="Arial" w:eastAsia="黑体"/>
          <w:color w:val="auto"/>
          <w:sz w:val="32"/>
          <w:szCs w:val="21"/>
          <w:highlight w:val="none"/>
        </w:rPr>
        <w:outlineLvl w:val="1"/>
      </w:pPr>
      <w:r>
        <w:rPr>
          <w:rFonts w:ascii="宋体" w:hAnsi="宋体" w:eastAsia="黑体"/>
          <w:b/>
          <w:bCs/>
          <w:color w:val="auto"/>
          <w:sz w:val="24"/>
          <w:szCs w:val="32"/>
          <w:highlight w:val="none"/>
        </w:rPr>
        <w:br w:type="page" w:clear="all"/>
      </w:r>
      <w:bookmarkStart w:id="182" w:name="_Toc9285"/>
      <w:r>
        <w:rPr>
          <w:rFonts w:hint="eastAsia" w:ascii="Arial" w:hAnsi="Arial" w:eastAsia="黑体"/>
          <w:b/>
          <w:bCs/>
          <w:color w:val="auto"/>
          <w:sz w:val="24"/>
          <w:szCs w:val="32"/>
          <w:highlight w:val="none"/>
        </w:rPr>
        <w:t xml:space="preserve">格式7、商务条款偏离表</w:t>
      </w:r>
      <w:bookmarkEnd w:id="182"/>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请逐条对应采购文件“项目需求”等内容要求的商务条件，填写该表。</w:t>
      </w:r>
      <w:r/>
    </w:p>
    <w:tbl>
      <w:tblPr>
        <w:tblStyle w:val="8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项号</w:t>
            </w:r>
            <w:r/>
          </w:p>
        </w:tc>
        <w:tc>
          <w:tcPr>
            <w:tcW w:w="260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采购文件的商务条款</w:t>
            </w:r>
            <w:r/>
          </w:p>
        </w:tc>
        <w:tc>
          <w:tcPr>
            <w:tcW w:w="274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响应文件的商务条款</w:t>
            </w:r>
            <w:r/>
          </w:p>
        </w:tc>
        <w:tc>
          <w:tcPr>
            <w:tcW w:w="229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96"/>
        </w:trPr>
        <w:tc>
          <w:tcPr>
            <w:tcW w:w="1010"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602"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746"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293" w:type="dxa"/>
            <w:textDirection w:val="lrTb"/>
            <w:noWrap w:val="false"/>
          </w:tcPr>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Cs w:val="20"/>
          <w:highlight w:val="none"/>
        </w:rPr>
      </w:pPr>
      <w:r>
        <w:rPr>
          <w:rFonts w:hint="eastAsia" w:ascii="宋体" w:hAnsi="宋体"/>
          <w:color w:val="auto"/>
          <w:sz w:val="24"/>
          <w:szCs w:val="24"/>
          <w:highlight w:val="none"/>
        </w:rPr>
        <w:t xml:space="preserve">注：“偏离说明”填写“正偏离”“负偏离”或“无偏离”。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法定代表人或委托代理人（签字或盖章）：</w:t>
      </w:r>
      <w:r/>
    </w:p>
    <w:p>
      <w:pPr>
        <w:ind w:firstLine="480"/>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keepLines/>
        <w:keepNext/>
        <w:rPr>
          <w:rFonts w:hint="eastAsia" w:ascii="Arial" w:hAnsi="宋体" w:eastAsia="黑体"/>
          <w:b/>
          <w:bCs/>
          <w:color w:val="auto"/>
          <w:sz w:val="32"/>
          <w:szCs w:val="21"/>
          <w:highlight w:val="none"/>
        </w:rPr>
        <w:outlineLvl w:val="1"/>
      </w:pPr>
      <w:r>
        <w:rPr>
          <w:rFonts w:ascii="Arial" w:hAnsi="Arial" w:eastAsia="黑体"/>
          <w:b/>
          <w:bCs/>
          <w:color w:val="auto"/>
          <w:sz w:val="32"/>
          <w:szCs w:val="32"/>
          <w:highlight w:val="none"/>
        </w:rPr>
        <w:br w:type="page" w:clear="all"/>
      </w:r>
      <w:bookmarkStart w:id="183" w:name="_Toc1910"/>
      <w:r>
        <w:rPr>
          <w:rFonts w:hint="eastAsia" w:ascii="Arial" w:hAnsi="Arial" w:eastAsia="黑体"/>
          <w:b/>
          <w:bCs/>
          <w:color w:val="auto"/>
          <w:sz w:val="24"/>
          <w:szCs w:val="32"/>
          <w:highlight w:val="none"/>
        </w:rPr>
        <w:t xml:space="preserve">格式8、售后服务承诺书</w:t>
      </w:r>
      <w:bookmarkEnd w:id="183"/>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0"/>
          <w:highlight w:val="none"/>
        </w:rPr>
        <w:t xml:space="preserve">（供应商按“项目需求”等内容要求自行填写，格式自定)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法定代表人或委托代理人（签字或盖章）：</w:t>
      </w:r>
      <w:r/>
    </w:p>
    <w:p>
      <w:pPr>
        <w:ind w:firstLine="480"/>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keepLines/>
        <w:keepNext/>
        <w:rPr>
          <w:rFonts w:hint="eastAsia" w:ascii="Arial" w:hAnsi="宋体" w:eastAsia="黑体"/>
          <w:b/>
          <w:bCs/>
          <w:color w:val="auto"/>
          <w:sz w:val="32"/>
          <w:szCs w:val="21"/>
          <w:highlight w:val="none"/>
        </w:rPr>
        <w:outlineLvl w:val="1"/>
      </w:pPr>
      <w:r>
        <w:rPr>
          <w:rFonts w:ascii="Arial" w:hAnsi="Arial" w:eastAsia="黑体"/>
          <w:b/>
          <w:bCs/>
          <w:color w:val="auto"/>
          <w:sz w:val="32"/>
          <w:szCs w:val="32"/>
          <w:highlight w:val="none"/>
        </w:rPr>
        <w:br w:type="page" w:clear="all"/>
      </w:r>
      <w:bookmarkStart w:id="184" w:name="_Toc31985"/>
      <w:r>
        <w:rPr>
          <w:rFonts w:hint="eastAsia" w:ascii="Arial" w:hAnsi="Arial" w:eastAsia="黑体"/>
          <w:b/>
          <w:bCs/>
          <w:color w:val="auto"/>
          <w:sz w:val="24"/>
          <w:szCs w:val="32"/>
          <w:highlight w:val="none"/>
        </w:rPr>
        <w:t xml:space="preserve">格式9、项目团队人员一览表</w:t>
      </w:r>
      <w:bookmarkEnd w:id="184"/>
      <w:r/>
      <w:r/>
    </w:p>
    <w:p>
      <w:pPr>
        <w:ind w:firstLine="3233"/>
        <w:spacing w:line="520" w:lineRule="exact"/>
        <w:rPr>
          <w:rFonts w:hint="eastAsia" w:ascii="宋体" w:hAnsi="宋体"/>
          <w:b/>
          <w:bCs/>
          <w:color w:val="auto"/>
          <w:sz w:val="28"/>
          <w:szCs w:val="24"/>
          <w:highlight w:val="none"/>
        </w:rPr>
      </w:pPr>
      <w:r>
        <w:rPr>
          <w:rFonts w:hint="eastAsia" w:ascii="宋体" w:hAnsi="宋体"/>
          <w:b/>
          <w:bCs/>
          <w:color w:val="auto"/>
          <w:sz w:val="28"/>
          <w:szCs w:val="24"/>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8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color w:val="auto"/>
                <w:szCs w:val="24"/>
                <w:highlight w:val="none"/>
              </w:rPr>
            </w:pPr>
            <w:r>
              <w:rPr>
                <w:rFonts w:hint="eastAsia" w:ascii="宋体" w:hAnsi="宋体"/>
                <w:color w:val="auto"/>
                <w:szCs w:val="24"/>
                <w:highlight w:val="none"/>
              </w:rPr>
              <w:t xml:space="preserve">姓  名</w:t>
            </w:r>
            <w:r/>
          </w:p>
        </w:tc>
        <w:tc>
          <w:tcPr>
            <w:tcW w:w="1905" w:type="dxa"/>
            <w:vAlign w:val="center"/>
            <w:textDirection w:val="lrTb"/>
            <w:noWrap w:val="false"/>
          </w:tcPr>
          <w:p>
            <w:pPr>
              <w:jc w:val="center"/>
              <w:spacing w:line="520" w:lineRule="exact"/>
              <w:rPr>
                <w:rFonts w:hint="eastAsia" w:ascii="宋体" w:hAnsi="宋体"/>
                <w:color w:val="auto"/>
                <w:szCs w:val="24"/>
                <w:highlight w:val="none"/>
              </w:rPr>
            </w:pPr>
            <w:r>
              <w:rPr>
                <w:rFonts w:hint="eastAsia" w:ascii="宋体" w:hAnsi="宋体"/>
                <w:color w:val="auto"/>
                <w:szCs w:val="24"/>
                <w:highlight w:val="none"/>
              </w:rPr>
              <w:t xml:space="preserve">本项目拟任</w:t>
            </w:r>
            <w:r/>
          </w:p>
          <w:p>
            <w:pPr>
              <w:jc w:val="center"/>
              <w:spacing w:line="520" w:lineRule="exact"/>
              <w:rPr>
                <w:rFonts w:hint="eastAsia" w:ascii="宋体" w:hAnsi="宋体"/>
                <w:color w:val="auto"/>
                <w:szCs w:val="24"/>
                <w:highlight w:val="none"/>
              </w:rPr>
            </w:pPr>
            <w:r>
              <w:rPr>
                <w:rFonts w:hint="eastAsia" w:ascii="宋体" w:hAnsi="宋体"/>
                <w:color w:val="auto"/>
                <w:szCs w:val="24"/>
                <w:highlight w:val="none"/>
              </w:rPr>
              <w:t xml:space="preserve">职  务</w:t>
            </w:r>
            <w:r/>
          </w:p>
        </w:tc>
        <w:tc>
          <w:tcPr>
            <w:tcW w:w="1127" w:type="dxa"/>
            <w:vAlign w:val="center"/>
            <w:textDirection w:val="lrTb"/>
            <w:noWrap w:val="false"/>
          </w:tcPr>
          <w:p>
            <w:pPr>
              <w:jc w:val="center"/>
              <w:spacing w:line="520" w:lineRule="exact"/>
              <w:rPr>
                <w:rFonts w:hint="eastAsia" w:ascii="宋体" w:hAnsi="宋体"/>
                <w:color w:val="auto"/>
                <w:szCs w:val="24"/>
                <w:highlight w:val="none"/>
              </w:rPr>
            </w:pPr>
            <w:r>
              <w:rPr>
                <w:rFonts w:hint="eastAsia" w:ascii="宋体" w:hAnsi="宋体"/>
                <w:color w:val="auto"/>
                <w:szCs w:val="24"/>
                <w:highlight w:val="none"/>
              </w:rPr>
              <w:t xml:space="preserve">技术</w:t>
            </w:r>
            <w:r/>
          </w:p>
          <w:p>
            <w:pPr>
              <w:jc w:val="center"/>
              <w:spacing w:line="520" w:lineRule="exact"/>
              <w:rPr>
                <w:rFonts w:hint="eastAsia" w:ascii="宋体" w:hAnsi="宋体"/>
                <w:color w:val="auto"/>
                <w:szCs w:val="24"/>
                <w:highlight w:val="none"/>
              </w:rPr>
            </w:pPr>
            <w:r>
              <w:rPr>
                <w:rFonts w:hint="eastAsia" w:ascii="宋体" w:hAnsi="宋体"/>
                <w:color w:val="auto"/>
                <w:szCs w:val="24"/>
                <w:highlight w:val="none"/>
              </w:rPr>
              <w:t xml:space="preserve">职称</w:t>
            </w:r>
            <w:r/>
          </w:p>
        </w:tc>
        <w:tc>
          <w:tcPr>
            <w:tcW w:w="896" w:type="dxa"/>
            <w:vAlign w:val="center"/>
            <w:textDirection w:val="lrTb"/>
            <w:noWrap w:val="false"/>
          </w:tcPr>
          <w:p>
            <w:pPr>
              <w:jc w:val="center"/>
              <w:spacing w:line="520" w:lineRule="exact"/>
              <w:rPr>
                <w:rFonts w:hint="eastAsia" w:ascii="宋体" w:hAnsi="宋体"/>
                <w:color w:val="auto"/>
                <w:szCs w:val="24"/>
                <w:highlight w:val="none"/>
              </w:rPr>
            </w:pPr>
            <w:r>
              <w:rPr>
                <w:rFonts w:hint="eastAsia" w:ascii="宋体" w:hAnsi="宋体"/>
                <w:color w:val="auto"/>
                <w:szCs w:val="24"/>
                <w:highlight w:val="none"/>
              </w:rPr>
              <w:t xml:space="preserve">年龄</w:t>
            </w:r>
            <w:r/>
          </w:p>
        </w:tc>
        <w:tc>
          <w:tcPr>
            <w:tcW w:w="896" w:type="dxa"/>
            <w:vAlign w:val="center"/>
            <w:textDirection w:val="lrTb"/>
            <w:noWrap w:val="false"/>
          </w:tcPr>
          <w:p>
            <w:pPr>
              <w:jc w:val="center"/>
              <w:spacing w:line="520" w:lineRule="exact"/>
              <w:rPr>
                <w:rFonts w:hint="eastAsia" w:ascii="宋体" w:hAnsi="宋体"/>
                <w:color w:val="auto"/>
                <w:szCs w:val="24"/>
                <w:highlight w:val="none"/>
              </w:rPr>
            </w:pPr>
            <w:r>
              <w:rPr>
                <w:rFonts w:hint="eastAsia" w:ascii="宋体" w:hAnsi="宋体"/>
                <w:color w:val="auto"/>
                <w:szCs w:val="24"/>
                <w:highlight w:val="none"/>
              </w:rPr>
              <w:t xml:space="preserve">学历</w:t>
            </w:r>
            <w:r/>
          </w:p>
        </w:tc>
        <w:tc>
          <w:tcPr>
            <w:tcW w:w="2814" w:type="dxa"/>
            <w:vAlign w:val="center"/>
            <w:textDirection w:val="lrTb"/>
            <w:noWrap w:val="false"/>
          </w:tcPr>
          <w:p>
            <w:pPr>
              <w:jc w:val="center"/>
              <w:spacing w:line="520" w:lineRule="exact"/>
              <w:rPr>
                <w:rFonts w:hint="eastAsia" w:ascii="宋体" w:hAnsi="宋体"/>
                <w:color w:val="auto"/>
                <w:szCs w:val="24"/>
                <w:highlight w:val="none"/>
              </w:rPr>
            </w:pPr>
            <w:r>
              <w:rPr>
                <w:rFonts w:hint="eastAsia" w:ascii="宋体" w:hAnsi="宋体"/>
                <w:color w:val="auto"/>
                <w:szCs w:val="24"/>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8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bl>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法定代表人或委托代理人（签字或盖章）：</w:t>
      </w:r>
      <w:r/>
    </w:p>
    <w:p>
      <w:pPr>
        <w:ind w:firstLine="480"/>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ind w:firstLine="480"/>
        <w:spacing w:line="360" w:lineRule="auto"/>
        <w:rPr>
          <w:rFonts w:ascii="宋体" w:hAnsi="Courier New"/>
          <w:color w:val="auto"/>
          <w:sz w:val="24"/>
          <w:szCs w:val="24"/>
          <w:highlight w:val="none"/>
        </w:rPr>
      </w:pPr>
      <w:r>
        <w:rPr>
          <w:rFonts w:ascii="宋体" w:hAnsi="Courier New"/>
          <w:color w:val="auto"/>
          <w:sz w:val="24"/>
          <w:szCs w:val="24"/>
          <w:highlight w:val="none"/>
        </w:rPr>
      </w:r>
      <w:r/>
    </w:p>
    <w:p>
      <w:pPr>
        <w:keepLines/>
        <w:keepNext/>
        <w:rPr>
          <w:rFonts w:ascii="Arial" w:hAnsi="Arial" w:eastAsia="黑体"/>
          <w:b/>
          <w:bCs/>
          <w:color w:val="auto"/>
          <w:sz w:val="32"/>
          <w:szCs w:val="32"/>
          <w:highlight w:val="none"/>
        </w:rPr>
        <w:outlineLvl w:val="1"/>
      </w:pPr>
      <w:r>
        <w:rPr>
          <w:rFonts w:ascii="Arial" w:hAnsi="Arial" w:eastAsia="黑体"/>
          <w:b/>
          <w:bCs/>
          <w:color w:val="auto"/>
          <w:sz w:val="32"/>
          <w:szCs w:val="32"/>
          <w:highlight w:val="none"/>
        </w:rPr>
        <w:br w:type="page" w:clear="all"/>
      </w:r>
      <w:bookmarkStart w:id="185" w:name="_Toc25865"/>
      <w:r>
        <w:rPr>
          <w:rFonts w:hint="eastAsia" w:ascii="Arial" w:hAnsi="Arial" w:eastAsia="黑体"/>
          <w:b/>
          <w:bCs/>
          <w:color w:val="auto"/>
          <w:sz w:val="24"/>
          <w:szCs w:val="32"/>
          <w:highlight w:val="none"/>
        </w:rPr>
        <w:t xml:space="preserve">格式10、类似项目业绩一览表</w:t>
      </w:r>
      <w:bookmarkEnd w:id="185"/>
      <w:r/>
      <w:r/>
    </w:p>
    <w:p>
      <w:pPr>
        <w:jc w:val="center"/>
        <w:spacing w:line="520" w:lineRule="exact"/>
        <w:rPr>
          <w:rFonts w:hint="eastAsia" w:ascii="宋体" w:hAnsi="宋体"/>
          <w:b/>
          <w:bCs/>
          <w:color w:val="auto"/>
          <w:sz w:val="28"/>
          <w:szCs w:val="24"/>
          <w:highlight w:val="none"/>
        </w:rPr>
      </w:pPr>
      <w:r>
        <w:rPr>
          <w:rFonts w:hint="eastAsia" w:ascii="宋体" w:hAnsi="宋体"/>
          <w:b/>
          <w:bCs/>
          <w:color w:val="auto"/>
          <w:sz w:val="28"/>
          <w:szCs w:val="24"/>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8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序号</w:t>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olor w:val="auto"/>
                <w:sz w:val="28"/>
                <w:szCs w:val="24"/>
                <w:highlight w:val="none"/>
              </w:rPr>
            </w:pPr>
            <w:r>
              <w:rPr>
                <w:rFonts w:hint="eastAsia" w:ascii="宋体" w:hAnsi="宋体"/>
                <w:color w:val="auto"/>
                <w:sz w:val="28"/>
                <w:szCs w:val="24"/>
                <w:highlight w:val="none"/>
              </w:rPr>
            </w:r>
            <w:r/>
          </w:p>
        </w:tc>
      </w:tr>
    </w:tbl>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法定代表人或委托代理人（签字或盖章）：</w:t>
      </w:r>
      <w:r/>
    </w:p>
    <w:p>
      <w:pPr>
        <w:ind w:firstLine="480"/>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ind w:firstLine="480"/>
        <w:spacing w:line="360" w:lineRule="auto"/>
        <w:rPr>
          <w:rFonts w:ascii="宋体" w:hAnsi="Courier New"/>
          <w:color w:val="auto"/>
          <w:sz w:val="24"/>
          <w:szCs w:val="24"/>
          <w:highlight w:val="none"/>
        </w:rPr>
      </w:pPr>
      <w:r>
        <w:rPr>
          <w:rFonts w:ascii="宋体" w:hAnsi="Courier New"/>
          <w:color w:val="auto"/>
          <w:sz w:val="24"/>
          <w:szCs w:val="24"/>
          <w:highlight w:val="none"/>
        </w:rPr>
      </w:r>
      <w:r/>
    </w:p>
    <w:p>
      <w:pPr>
        <w:keepLines/>
        <w:keepNext/>
        <w:rPr>
          <w:rFonts w:ascii="Arial" w:hAnsi="Arial" w:eastAsia="黑体"/>
          <w:b/>
          <w:bCs/>
          <w:color w:val="auto"/>
          <w:sz w:val="32"/>
          <w:szCs w:val="32"/>
          <w:highlight w:val="none"/>
        </w:rPr>
        <w:outlineLvl w:val="1"/>
      </w:pPr>
      <w:r>
        <w:rPr>
          <w:rFonts w:ascii="Arial" w:hAnsi="Arial" w:eastAsia="黑体"/>
          <w:b/>
          <w:bCs/>
          <w:color w:val="auto"/>
          <w:sz w:val="32"/>
          <w:szCs w:val="32"/>
          <w:highlight w:val="none"/>
        </w:rPr>
        <w:br w:type="page" w:clear="all"/>
      </w:r>
      <w:bookmarkStart w:id="186" w:name="_Toc8730"/>
      <w:r>
        <w:rPr>
          <w:rFonts w:hint="eastAsia" w:ascii="Arial" w:hAnsi="Arial" w:eastAsia="黑体"/>
          <w:b/>
          <w:bCs/>
          <w:color w:val="auto"/>
          <w:sz w:val="24"/>
          <w:szCs w:val="32"/>
          <w:highlight w:val="none"/>
        </w:rPr>
        <w:t xml:space="preserve">格式11、项目需求响应</w:t>
      </w:r>
      <w:bookmarkEnd w:id="186"/>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项目需求响应</w:t>
      </w:r>
      <w:r/>
    </w:p>
    <w:p>
      <w:pPr>
        <w:jc w:val="center"/>
        <w:spacing w:line="520" w:lineRule="exact"/>
        <w:rPr>
          <w:rFonts w:hint="eastAsia" w:ascii="宋体" w:hAnsi="宋体"/>
          <w:color w:val="auto"/>
          <w:sz w:val="24"/>
          <w:szCs w:val="24"/>
          <w:highlight w:val="none"/>
        </w:rPr>
      </w:pPr>
      <w:r>
        <w:rPr>
          <w:rFonts w:hint="eastAsia" w:ascii="宋体" w:hAnsi="宋体"/>
          <w:color w:val="auto"/>
          <w:szCs w:val="24"/>
          <w:highlight w:val="none"/>
        </w:rPr>
        <w:t xml:space="preserve">（供应商按“项目需求”等内容要求自行填写，格式自定）</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法定代表人或委托代理人（签字或盖章）：</w:t>
      </w:r>
      <w:r/>
    </w:p>
    <w:p>
      <w:pPr>
        <w:ind w:firstLine="480"/>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pStyle w:val="1060"/>
        <w:rPr>
          <w:rFonts w:ascii="宋体" w:hAnsi="Courier New"/>
          <w:color w:val="auto"/>
          <w:sz w:val="24"/>
          <w:highlight w:val="none"/>
        </w:rPr>
      </w:pPr>
      <w:r>
        <w:rPr>
          <w:rFonts w:ascii="宋体" w:hAnsi="Courier New"/>
          <w:color w:val="auto"/>
          <w:sz w:val="24"/>
          <w:highlight w:val="none"/>
        </w:rPr>
      </w:r>
      <w:r/>
    </w:p>
    <w:p>
      <w:pPr>
        <w:pStyle w:val="1060"/>
        <w:rPr>
          <w:rFonts w:ascii="宋体" w:hAnsi="Courier New"/>
          <w:color w:val="auto"/>
          <w:sz w:val="24"/>
          <w:highlight w:val="none"/>
        </w:rPr>
      </w:pPr>
      <w:r>
        <w:rPr>
          <w:rFonts w:ascii="宋体" w:hAnsi="Courier New"/>
          <w:color w:val="auto"/>
          <w:sz w:val="24"/>
          <w:highlight w:val="none"/>
        </w:rPr>
      </w:r>
      <w:r/>
    </w:p>
    <w:p>
      <w:pPr>
        <w:pStyle w:val="1060"/>
        <w:rPr>
          <w:rFonts w:ascii="宋体" w:hAnsi="Courier New"/>
          <w:color w:val="auto"/>
          <w:sz w:val="24"/>
          <w:highlight w:val="none"/>
        </w:rPr>
      </w:pPr>
      <w:r>
        <w:rPr>
          <w:rFonts w:ascii="宋体" w:hAnsi="Courier New"/>
          <w:color w:val="auto"/>
          <w:sz w:val="24"/>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bookmarkStart w:id="187" w:name="_Toc24070"/>
      <w:r>
        <w:rPr>
          <w:rFonts w:hint="eastAsia" w:ascii="Arial" w:hAnsi="Arial" w:eastAsia="黑体"/>
          <w:b/>
          <w:bCs/>
          <w:color w:val="auto"/>
          <w:sz w:val="24"/>
          <w:szCs w:val="32"/>
          <w:highlight w:val="none"/>
        </w:rPr>
        <w:t xml:space="preserve">格式12、财务状况报告及税收、社会保障资金缴纳情况承诺函</w:t>
      </w:r>
      <w:bookmarkEnd w:id="187"/>
      <w:r/>
      <w:r/>
    </w:p>
    <w:p>
      <w:pPr>
        <w:rPr>
          <w:rFonts w:ascii="Times New Roman" w:hAnsi="Times New Roman"/>
          <w:color w:val="auto"/>
          <w:szCs w:val="24"/>
          <w:highlight w:val="none"/>
        </w:rPr>
      </w:pPr>
      <w:r>
        <w:rPr>
          <w:rFonts w:ascii="Times New Roman" w:hAnsi="Times New Roman"/>
          <w:color w:val="auto"/>
          <w:szCs w:val="24"/>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olor w:val="auto"/>
          <w:szCs w:val="24"/>
          <w:highlight w:val="none"/>
        </w:rPr>
      </w:pPr>
      <w:r>
        <w:rPr>
          <w:rFonts w:ascii="MS Mincho"/>
          <w:color w:val="auto"/>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【采购单位】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供应商名称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【标段名称】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【标段编号】</w:t>
      </w:r>
      <w:r>
        <w:rPr>
          <w:rFonts w:hint="eastAsia" w:ascii="宋体" w:hAnsi="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特此承诺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jc w:val="left"/>
        <w:spacing w:line="520" w:lineRule="exact"/>
        <w:rPr>
          <w:rFonts w:hint="eastAsia" w:ascii="宋体" w:hAnsi="宋体"/>
          <w:b/>
          <w:color w:val="auto"/>
          <w:szCs w:val="21"/>
          <w:highlight w:val="none"/>
        </w:rPr>
      </w:pPr>
      <w:r>
        <w:rPr>
          <w:rFonts w:hint="eastAsia" w:ascii="宋体" w:hAnsi="宋体"/>
          <w:color w:val="auto"/>
          <w:sz w:val="24"/>
          <w:szCs w:val="24"/>
          <w:highlight w:val="none"/>
        </w:rPr>
        <w:t xml:space="preserve">日期：    年     月     日</w:t>
      </w:r>
      <w:r/>
    </w:p>
    <w:p>
      <w:pPr>
        <w:jc w:val="left"/>
        <w:widowControl/>
        <w:rPr>
          <w:rFonts w:ascii="Arial" w:hAnsi="Arial" w:eastAsia="黑体"/>
          <w:b/>
          <w:bCs/>
          <w:color w:val="auto"/>
          <w:sz w:val="24"/>
          <w:szCs w:val="32"/>
          <w:highlight w:val="none"/>
        </w:rPr>
      </w:pPr>
      <w:r>
        <w:rPr>
          <w:rFonts w:ascii="Arial" w:hAnsi="Arial" w:eastAsia="黑体"/>
          <w:b/>
          <w:bCs/>
          <w:color w:val="auto"/>
          <w:sz w:val="24"/>
          <w:szCs w:val="32"/>
          <w:highlight w:val="none"/>
        </w:rPr>
        <w:br w:type="page" w:clear="all"/>
      </w:r>
      <w:r/>
    </w:p>
    <w:p>
      <w:pPr>
        <w:keepLines/>
        <w:keepNext/>
        <w:rPr>
          <w:rFonts w:ascii="Arial" w:hAnsi="Arial" w:eastAsia="黑体"/>
          <w:b/>
          <w:bCs/>
          <w:color w:val="auto"/>
          <w:sz w:val="24"/>
          <w:szCs w:val="32"/>
          <w:highlight w:val="none"/>
        </w:rPr>
        <w:outlineLvl w:val="1"/>
      </w:pPr>
      <w:r/>
      <w:bookmarkStart w:id="188" w:name="_Toc5975"/>
      <w:r>
        <w:rPr>
          <w:rFonts w:hint="eastAsia" w:ascii="Arial" w:hAnsi="Arial" w:eastAsia="黑体"/>
          <w:b/>
          <w:bCs/>
          <w:color w:val="auto"/>
          <w:sz w:val="24"/>
          <w:szCs w:val="32"/>
          <w:highlight w:val="none"/>
        </w:rPr>
        <w:t xml:space="preserve">格式13、其他材料</w:t>
      </w:r>
      <w:bookmarkEnd w:id="188"/>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jc w:val="cente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（投标人对招标文件响应有必要提供的材料或评标办法中要求提供的材料）</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法定代表人或委托代理人（签字或盖章）：</w:t>
      </w:r>
      <w:r/>
    </w:p>
    <w:p>
      <w:pPr>
        <w:ind w:firstLine="480"/>
        <w:spacing w:line="360" w:lineRule="auto"/>
        <w:rPr>
          <w:rFonts w:ascii="宋体" w:hAnsi="Courier New"/>
          <w:color w:val="auto"/>
          <w:sz w:val="24"/>
          <w:highlight w:val="none"/>
        </w:rPr>
        <w:sectPr>
          <w:headerReference w:type="default" r:id="rId9"/>
          <w:footerReference w:type="default" r:id="rId11"/>
          <w:footerReference w:type="even" r:id="rId12"/>
          <w:footnotePr/>
          <w:endnotePr/>
          <w:type w:val="oddPage"/>
          <w:pgSz w:w="11906" w:h="16838" w:orient="portrait"/>
          <w:pgMar w:top="1440" w:right="1134" w:bottom="1440" w:left="1418" w:header="851" w:footer="992" w:gutter="0"/>
          <w:cols w:num="1" w:sep="0" w:space="1701" w:equalWidth="1"/>
          <w:docGrid w:linePitch="360"/>
          <w:titlePg/>
        </w:sectPr>
      </w:pPr>
      <w:r>
        <w:rPr>
          <w:rFonts w:hint="eastAsia" w:ascii="宋体" w:hAnsi="Courier New"/>
          <w:color w:val="auto"/>
          <w:sz w:val="24"/>
          <w:szCs w:val="24"/>
          <w:highlight w:val="none"/>
        </w:rPr>
        <w:t xml:space="preserve">日期：    年     月     日</w:t>
      </w:r>
      <w:r>
        <w:rPr>
          <w:rFonts w:hint="eastAsia" w:ascii="宋体" w:hAnsi="Courier New"/>
          <w:color w:val="auto"/>
          <w:sz w:val="24"/>
          <w:highlight w:val="none"/>
        </w:rPr>
        <w:br w:type="page" w:clear="all"/>
      </w:r>
      <w:r/>
    </w:p>
    <w:p>
      <w:pPr>
        <w:keepLines/>
        <w:keepNext/>
        <w:rPr>
          <w:rFonts w:ascii="Cambria" w:hAnsi="Cambria" w:eastAsia="黑体"/>
          <w:b/>
          <w:bCs/>
          <w:color w:val="auto"/>
          <w:sz w:val="32"/>
          <w:szCs w:val="32"/>
          <w:highlight w:val="none"/>
        </w:rPr>
        <w:outlineLvl w:val="1"/>
      </w:pPr>
      <w:r>
        <w:rPr>
          <w:rFonts w:hint="eastAsia" w:ascii="Arial" w:hAnsi="Arial" w:eastAsia="黑体"/>
          <w:b/>
          <w:bCs/>
          <w:color w:val="auto"/>
          <w:sz w:val="24"/>
          <w:szCs w:val="32"/>
          <w:highlight w:val="none"/>
        </w:rPr>
        <w:t xml:space="preserve">格式14、</w:t>
      </w:r>
      <w:r>
        <w:rPr>
          <w:rFonts w:hint="eastAsia" w:ascii="Cambria" w:hAnsi="Cambria" w:eastAsia="黑体"/>
          <w:b/>
          <w:bCs/>
          <w:color w:val="auto"/>
          <w:sz w:val="24"/>
          <w:szCs w:val="32"/>
          <w:highlight w:val="none"/>
        </w:rPr>
        <w:t xml:space="preserve">中小企业声明函</w:t>
      </w:r>
      <w:r/>
    </w:p>
    <w:p>
      <w:pPr>
        <w:jc w:val="center"/>
        <w:spacing w:before="312" w:after="312"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采购活动，服务全部由符合政策要求的中小企业承接。</w:t>
      </w:r>
      <w:r/>
    </w:p>
    <w:p>
      <w:pPr>
        <w:ind w:firstLine="480"/>
        <w:spacing w:line="360" w:lineRule="auto"/>
        <w:rPr>
          <w:rFonts w:hint="eastAsia" w:ascii="宋体" w:hAnsi="宋体"/>
          <w:color w:val="auto"/>
          <w:sz w:val="24"/>
          <w:highlight w:val="none"/>
        </w:rPr>
      </w:pPr>
      <w:r>
        <w:rPr>
          <w:rFonts w:ascii="宋体" w:hAnsi="宋体"/>
          <w:color w:val="auto"/>
          <w:sz w:val="24"/>
          <w:highlight w:val="none"/>
          <w:u w:val="single"/>
        </w:rPr>
        <w:t xml:space="preserve">（标的名称） </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 </w:t>
      </w:r>
      <w:r>
        <w:rPr>
          <w:rFonts w:ascii="宋体" w:hAnsi="宋体"/>
          <w:color w:val="auto"/>
          <w:sz w:val="24"/>
          <w:highlight w:val="none"/>
        </w:rPr>
        <w:t xml:space="preserve">行业；</w:t>
      </w:r>
      <w:r>
        <w:rPr>
          <w:rFonts w:hint="eastAsia" w:ascii="宋体" w:hAnsi="宋体"/>
          <w:color w:val="auto"/>
          <w:sz w:val="24"/>
          <w:highlight w:val="none"/>
        </w:rPr>
        <w:t xml:space="preserve">承接企业</w:t>
      </w:r>
      <w:r>
        <w:rPr>
          <w:rFonts w:ascii="宋体" w:hAnsi="宋体"/>
          <w:color w:val="auto"/>
          <w:sz w:val="24"/>
          <w:highlight w:val="none"/>
        </w:rPr>
        <w:t xml:space="preserve">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（中型企业、小型企业、微型企业）</w:t>
      </w:r>
      <w:r>
        <w:rPr>
          <w:rFonts w:ascii="宋体" w:hAnsi="宋体"/>
          <w:color w:val="auto"/>
          <w:sz w:val="24"/>
          <w:highlight w:val="none"/>
        </w:rPr>
        <w:t xml:space="preserve">； </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49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4920"/>
        <w:spacing w:line="360" w:lineRule="auto"/>
        <w:rPr>
          <w:rFonts w:hint="eastAsia" w:ascii="宋体" w:hAnsi="宋体"/>
          <w:color w:val="auto"/>
          <w:sz w:val="24"/>
          <w:highlight w:val="none"/>
        </w:rPr>
      </w:pPr>
      <w:r>
        <w:rPr>
          <w:rFonts w:ascii="宋体" w:hAnsi="宋体"/>
          <w:color w:val="auto"/>
          <w:sz w:val="24"/>
          <w:highlight w:val="none"/>
        </w:rPr>
        <w:t xml:space="preserve">企业名称（盖章）： </w:t>
      </w:r>
      <w:r/>
    </w:p>
    <w:p>
      <w:pPr>
        <w:ind w:right="480" w:firstLine="4920"/>
        <w:spacing w:line="360" w:lineRule="auto"/>
        <w:rPr>
          <w:rFonts w:hint="eastAsia" w:ascii="宋体" w:hAnsi="宋体"/>
          <w:color w:val="auto"/>
          <w:sz w:val="24"/>
          <w:highlight w:val="none"/>
        </w:rPr>
      </w:pPr>
      <w:r>
        <w:rPr>
          <w:rFonts w:ascii="宋体" w:hAnsi="宋体"/>
          <w:color w:val="auto"/>
          <w:sz w:val="24"/>
          <w:highlight w:val="none"/>
        </w:rPr>
        <w:t xml:space="preserve">日 期：</w:t>
      </w:r>
      <w:r/>
    </w:p>
    <w:p>
      <w:pPr>
        <w:ind w:right="480" w:firstLine="49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填报说明：</w:t>
      </w:r>
      <w:r/>
    </w:p>
    <w:p>
      <w:pPr>
        <w:ind w:right="48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2、请供应商如实填写，所填内容将作为评审的依据。如填写不完整或填写有误，将不享受扶持政策。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3、中标供应商的《中小企业声明函》随中标结果公开。</w:t>
      </w:r>
      <w:r/>
    </w:p>
    <w:p>
      <w:pPr>
        <w:keepLines/>
        <w:keepNext/>
        <w:rPr>
          <w:rFonts w:hint="eastAsia" w:ascii="宋体" w:hAnsi="宋体" w:cs="宋体"/>
          <w:color w:val="auto"/>
          <w:sz w:val="36"/>
          <w:highlight w:val="none"/>
        </w:rPr>
        <w:outlineLvl w:val="1"/>
      </w:pPr>
      <w:r>
        <w:rPr>
          <w:rFonts w:hint="eastAsia" w:ascii="宋体" w:hAnsi="宋体"/>
          <w:color w:val="auto"/>
          <w:sz w:val="24"/>
          <w:highlight w:val="none"/>
        </w:rPr>
        <w:br w:type="page" w:clear="all"/>
      </w:r>
      <w:r>
        <w:rPr>
          <w:rFonts w:hint="eastAsia" w:ascii="Arial" w:hAnsi="Arial" w:eastAsia="黑体"/>
          <w:b/>
          <w:bCs/>
          <w:color w:val="auto"/>
          <w:sz w:val="24"/>
          <w:szCs w:val="32"/>
          <w:highlight w:val="none"/>
        </w:rPr>
        <w:t xml:space="preserve">十五、残疾人福利性单位声明函</w:t>
      </w:r>
      <w:r/>
    </w:p>
    <w:p>
      <w:pPr>
        <w:jc w:val="center"/>
        <w:spacing w:line="360" w:lineRule="auto"/>
        <w:tabs>
          <w:tab w:val="left" w:pos="360" w:leader="none"/>
        </w:tabs>
        <w:rPr>
          <w:rFonts w:hint="eastAsia" w:ascii="宋体" w:hAnsi="宋体" w:cs="宋体"/>
          <w:bCs/>
          <w:color w:val="auto"/>
          <w:sz w:val="36"/>
          <w:szCs w:val="28"/>
          <w:highlight w:val="none"/>
        </w:rPr>
      </w:pPr>
      <w:r>
        <w:rPr>
          <w:rFonts w:hint="eastAsia" w:ascii="宋体" w:hAnsi="宋体" w:cs="宋体"/>
          <w:bCs/>
          <w:color w:val="auto"/>
          <w:sz w:val="36"/>
          <w:szCs w:val="28"/>
          <w:highlight w:val="none"/>
        </w:rPr>
      </w:r>
      <w:r/>
    </w:p>
    <w:p>
      <w:pPr>
        <w:jc w:val="center"/>
        <w:spacing w:before="312" w:after="312"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w:t>
      </w:r>
      <w:r>
        <w:rPr>
          <w:rFonts w:hint="eastAsia" w:ascii="宋体" w:hAnsi="宋体" w:cs="宋体"/>
          <w:color w:val="auto"/>
          <w:sz w:val="24"/>
          <w:szCs w:val="21"/>
          <w:highlight w:val="none"/>
        </w:rPr>
        <w:t xml:space="preserve">141号）的规定，本单位为符合条件的残疾人福利性单位，且本单位参加</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单位的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，分包号：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1"/>
          <w:highlight w:val="none"/>
        </w:rPr>
        <w:t xml:space="preserve">）采购活动由本单位提供全部服务。</w:t>
      </w:r>
      <w:r/>
    </w:p>
    <w:p>
      <w:pPr>
        <w:ind w:firstLine="480"/>
        <w:spacing w:line="50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right="1620" w:firstLine="28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单位名称（盖章）：</w:t>
      </w:r>
      <w:r/>
    </w:p>
    <w:p>
      <w:pPr>
        <w:ind w:right="1140" w:firstLine="28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填报说明：</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请供应商如实填写，</w:t>
      </w:r>
      <w:r>
        <w:rPr>
          <w:rFonts w:hint="eastAsia" w:ascii="宋体" w:hAnsi="宋体" w:cs="宋体"/>
          <w:bCs/>
          <w:color w:val="auto"/>
          <w:sz w:val="24"/>
          <w:highlight w:val="none"/>
        </w:rPr>
        <w:t xml:space="preserve">所填内容将作为评审的依据</w:t>
      </w:r>
      <w:r>
        <w:rPr>
          <w:rFonts w:hint="eastAsia" w:ascii="宋体" w:hAnsi="宋体" w:cs="宋体"/>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2、中标人的《残疾人福利性单位声明函》随中标结果公开。</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sz w:val="36"/>
          <w:szCs w:val="28"/>
          <w:highlight w:val="none"/>
        </w:rPr>
      </w:pPr>
      <w:r>
        <w:rPr>
          <w:rFonts w:hint="eastAsia" w:ascii="Arial" w:hAnsi="Arial" w:eastAsia="黑体"/>
          <w:b/>
          <w:bCs/>
          <w:color w:val="auto"/>
          <w:sz w:val="24"/>
          <w:szCs w:val="32"/>
          <w:highlight w:val="none"/>
        </w:rPr>
        <w:t xml:space="preserve">十六、支持绿色发展承诺函</w:t>
      </w:r>
      <w:r/>
    </w:p>
    <w:p>
      <w:pPr>
        <w:keepLines/>
        <w:keepNext/>
        <w:rPr>
          <w:rFonts w:hint="eastAsia" w:ascii="宋体" w:hAnsi="宋体" w:cs="宋体"/>
          <w:color w:val="auto"/>
          <w:sz w:val="36"/>
          <w:highlight w:val="none"/>
        </w:rPr>
        <w:outlineLvl w:val="1"/>
      </w:pPr>
      <w:r>
        <w:rPr>
          <w:rFonts w:hint="eastAsia" w:ascii="宋体" w:hAnsi="宋体" w:cs="宋体"/>
          <w:color w:val="auto"/>
          <w:sz w:val="36"/>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支持绿色发展</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（投标人对以下3项自行承诺</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格式自拟</w:t>
      </w:r>
      <w:r>
        <w:rPr>
          <w:rFonts w:hint="eastAsia" w:ascii="宋体" w:hAnsi="宋体" w:cs="宋体"/>
          <w:b/>
          <w:color w:val="auto"/>
          <w:sz w:val="32"/>
          <w:szCs w:val="32"/>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rPr>
          <w:rFonts w:hint="eastAsia" w:ascii="宋体" w:hAnsi="宋体" w:cs="宋体"/>
          <w:b/>
          <w:color w:val="auto"/>
          <w:sz w:val="36"/>
          <w:szCs w:val="28"/>
          <w:highlight w:val="none"/>
        </w:rPr>
      </w:pPr>
      <w:r>
        <w:rPr>
          <w:rFonts w:hint="eastAsia" w:ascii="Arial" w:hAnsi="Arial" w:eastAsia="黑体"/>
          <w:b/>
          <w:bCs/>
          <w:color w:val="auto"/>
          <w:sz w:val="24"/>
          <w:szCs w:val="32"/>
          <w:highlight w:val="none"/>
        </w:rPr>
        <w:t xml:space="preserve">十七、关于符合本国产品标准的声明函</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57"/>
        <w:jc w:val="center"/>
        <w:spacing w:before="0" w:beforeAutospacing="0" w:after="0" w:afterAutospacing="0"/>
        <w:widowControl w:val="off"/>
        <w:rPr>
          <w:rFonts w:hint="eastAsia"/>
          <w:color w:val="auto"/>
          <w:highlight w:val="none"/>
        </w:rPr>
      </w:pPr>
      <w:r>
        <w:rPr>
          <w:rFonts w:ascii="黑体" w:eastAsia="黑体" w:cs="黑体"/>
          <w:color w:val="auto"/>
          <w:sz w:val="32"/>
          <w:szCs w:val="32"/>
          <w:highlight w:val="none"/>
          <w:u w:val="single"/>
        </w:rPr>
        <w:t xml:space="preserve">关于符合本国产品标准的声明函</w:t>
      </w:r>
      <w:r/>
    </w:p>
    <w:p>
      <w:pPr>
        <w:pStyle w:val="857"/>
        <w:ind w:firstLine="480"/>
        <w:jc w:val="both"/>
        <w:spacing w:before="0" w:beforeAutospacing="0" w:after="0" w:afterAutospacing="0" w:line="499" w:lineRule="atLeast"/>
        <w:widowControl w:val="off"/>
        <w:rPr>
          <w:rFonts w:hint="eastAsia"/>
          <w:color w:val="auto"/>
          <w:highlight w:val="none"/>
        </w:rPr>
      </w:pPr>
      <w:r>
        <w:rPr>
          <w:color w:val="auto"/>
          <w:szCs w:val="24"/>
          <w:highlight w:val="none"/>
        </w:rPr>
        <w:t xml:space="preserve"> </w:t>
      </w:r>
      <w:r/>
    </w:p>
    <w:p>
      <w:pPr>
        <w:pStyle w:val="857"/>
        <w:ind w:firstLine="480"/>
        <w:jc w:val="both"/>
        <w:spacing w:before="0" w:beforeAutospacing="0" w:after="0" w:afterAutospacing="0" w:line="499" w:lineRule="atLeast"/>
        <w:widowControl w:val="off"/>
        <w:rPr>
          <w:rFonts w:hint="eastAsia"/>
          <w:color w:val="auto"/>
          <w:highlight w:val="none"/>
        </w:rPr>
      </w:pPr>
      <w:r>
        <w:rPr>
          <w:color w:val="auto"/>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857"/>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1.</w:t>
      </w:r>
      <w:r>
        <w:rPr>
          <w:color w:val="auto"/>
          <w:szCs w:val="24"/>
          <w:highlight w:val="none"/>
          <w:u w:val="single"/>
          <w:shd w:val="clear" w:color="auto" w:fill="ffffff"/>
        </w:rPr>
        <w:t xml:space="preserve">（产品名称1）</w:t>
      </w:r>
      <w:r>
        <w:rPr>
          <w:color w:val="auto"/>
          <w:szCs w:val="24"/>
          <w:highlight w:val="none"/>
          <w:shd w:val="clear" w:color="auto" w:fill="ffffff"/>
          <w:vertAlign w:val="superscript"/>
        </w:rPr>
        <w:t xml:space="preserve">1</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vertAlign w:val="superscript"/>
        </w:rPr>
        <w:t xml:space="preserve">2</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color w:val="auto"/>
          <w:szCs w:val="24"/>
          <w:highlight w:val="none"/>
          <w:u w:val="single"/>
          <w:shd w:val="clear" w:color="auto" w:fill="ffffff"/>
        </w:rPr>
        <w:t xml:space="preserve"> </w:t>
      </w:r>
      <w:r>
        <w:rPr>
          <w:strike/>
          <w:color w:val="auto"/>
          <w:szCs w:val="24"/>
          <w:highlight w:val="none"/>
          <w:u w:val="single"/>
          <w:shd w:val="clear" w:color="auto" w:fill="ffffff"/>
        </w:rPr>
        <w:t xml:space="preserve">（产品名称1） </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color w:val="auto"/>
          <w:szCs w:val="24"/>
          <w:highlight w:val="none"/>
          <w:shd w:val="clear" w:color="auto" w:fill="ffffff"/>
          <w:vertAlign w:val="superscript"/>
        </w:rPr>
        <w:t xml:space="preserve">3</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color w:val="auto"/>
          <w:szCs w:val="24"/>
          <w:highlight w:val="none"/>
          <w:shd w:val="clear" w:color="auto" w:fill="ffffff"/>
          <w:vertAlign w:val="superscript"/>
        </w:rPr>
        <w:t xml:space="preserve">4</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color w:val="auto"/>
          <w:szCs w:val="24"/>
          <w:highlight w:val="none"/>
          <w:shd w:val="clear" w:color="auto" w:fill="ffffff"/>
          <w:vertAlign w:val="superscript"/>
        </w:rPr>
        <w:t xml:space="preserve">5</w:t>
      </w:r>
      <w:r>
        <w:rPr>
          <w:color w:val="auto"/>
          <w:szCs w:val="24"/>
          <w:highlight w:val="none"/>
          <w:shd w:val="clear" w:color="auto" w:fill="ffffff"/>
        </w:rPr>
        <w:t xml:space="preserve">在中国境内完成。</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shd w:val="clear" w:color="auto" w:fill="ffffff"/>
        </w:rPr>
        <w:t xml:space="preserve">2.</w:t>
      </w:r>
      <w:r>
        <w:rPr>
          <w:color w:val="auto"/>
          <w:szCs w:val="24"/>
          <w:highlight w:val="none"/>
          <w:u w:val="single"/>
          <w:shd w:val="clear" w:color="auto" w:fill="ffffff"/>
        </w:rPr>
        <w:t xml:space="preserve">（产品名称2）</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color w:val="auto"/>
          <w:szCs w:val="24"/>
          <w:highlight w:val="none"/>
          <w:shd w:val="clear" w:color="auto" w:fill="ffffff"/>
        </w:rPr>
        <w:t xml:space="preserve">在中国境内完成。</w:t>
      </w:r>
      <w:r/>
    </w:p>
    <w:p>
      <w:pPr>
        <w:pStyle w:val="857"/>
        <w:ind w:firstLine="480"/>
        <w:jc w:val="both"/>
        <w:spacing w:before="0" w:beforeAutospacing="0" w:after="0" w:afterAutospacing="0" w:line="499" w:lineRule="atLeast"/>
        <w:widowControl w:val="off"/>
        <w:rPr>
          <w:rFonts w:hint="eastAsia"/>
          <w:color w:val="auto"/>
          <w:highlight w:val="none"/>
        </w:rPr>
      </w:pPr>
      <w:r>
        <w:rPr>
          <w:color w:val="auto"/>
          <w:szCs w:val="24"/>
          <w:highlight w:val="none"/>
        </w:rPr>
        <w:t xml:space="preserve">……</w:t>
      </w:r>
      <w:r/>
    </w:p>
    <w:p>
      <w:pPr>
        <w:pStyle w:val="857"/>
        <w:ind w:firstLine="480"/>
        <w:jc w:val="both"/>
        <w:spacing w:before="0" w:beforeAutospacing="0" w:after="0" w:afterAutospacing="0" w:line="499" w:lineRule="atLeast"/>
        <w:widowControl w:val="off"/>
        <w:rPr>
          <w:rFonts w:hint="eastAsia"/>
          <w:color w:val="auto"/>
          <w:highlight w:val="none"/>
        </w:rPr>
      </w:pPr>
      <w:r>
        <w:rPr>
          <w:color w:val="auto"/>
          <w:szCs w:val="24"/>
          <w:highlight w:val="none"/>
        </w:rPr>
        <w:t xml:space="preserve">本公司（单位）对上述声明内容的真实性负责。如有虚假，愿承担相应法律责任。</w:t>
      </w:r>
      <w:r/>
    </w:p>
    <w:p>
      <w:pPr>
        <w:pStyle w:val="857"/>
        <w:ind w:right="1620" w:firstLine="2880"/>
        <w:jc w:val="both"/>
        <w:spacing w:before="0" w:beforeAutospacing="0" w:after="0" w:afterAutospacing="0" w:line="558" w:lineRule="atLeast"/>
        <w:widowControl w:val="off"/>
        <w:rPr>
          <w:rFonts w:hint="eastAsia"/>
          <w:color w:val="auto"/>
          <w:highlight w:val="none"/>
        </w:rPr>
      </w:pPr>
      <w:r>
        <w:rPr>
          <w:color w:val="auto"/>
          <w:szCs w:val="24"/>
          <w:highlight w:val="none"/>
        </w:rPr>
        <w:t xml:space="preserve">公司（单位）名称（盖章）：</w:t>
      </w:r>
      <w:r/>
    </w:p>
    <w:p>
      <w:pPr>
        <w:pStyle w:val="857"/>
        <w:ind w:right="1140" w:firstLine="2880"/>
        <w:jc w:val="both"/>
        <w:spacing w:before="0" w:beforeAutospacing="0" w:after="0" w:afterAutospacing="0" w:line="558" w:lineRule="atLeast"/>
        <w:widowControl w:val="off"/>
        <w:rPr>
          <w:rFonts w:hint="eastAsia"/>
          <w:color w:val="auto"/>
          <w:highlight w:val="none"/>
        </w:rPr>
      </w:pPr>
      <w:r>
        <w:rPr>
          <w:color w:val="auto"/>
          <w:szCs w:val="24"/>
          <w:highlight w:val="none"/>
        </w:rPr>
        <w:t xml:space="preserve">日期：</w:t>
      </w:r>
      <w:r/>
    </w:p>
    <w:p>
      <w:pPr>
        <w:pStyle w:val="857"/>
        <w:ind w:right="480"/>
        <w:jc w:val="both"/>
        <w:spacing w:before="0" w:beforeAutospacing="0" w:after="0" w:afterAutospacing="0"/>
        <w:widowControl w:val="off"/>
        <w:rPr>
          <w:rFonts w:hint="eastAsia"/>
          <w:color w:val="auto"/>
          <w:highlight w:val="none"/>
        </w:rPr>
      </w:pPr>
      <w:r>
        <w:rPr>
          <w:color w:val="auto"/>
          <w:szCs w:val="24"/>
          <w:highlight w:val="none"/>
        </w:rPr>
        <w:t xml:space="preserve">填报说明：</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rPr>
        <w:t xml:space="preserve">1.产品如有型号，请在“产品名称”栏一并填写。</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rPr>
        <w:t xml:space="preserve">2.生产厂名与厂址应与生产厂营业执照载明的相关信息保持一致。</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rPr>
        <w:t xml:space="preserve">3.该产品的中国境内生产的组件成本占比相关要求实施前，“规定比例”栏可不填，下同。</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rPr>
        <w:t xml:space="preserve">4.该产品的关键组件要求实施前，“关键组件”栏可不填，下同。</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rPr>
        <w:t xml:space="preserve">5.该产品的关键工序要求实施前，“关键工序”栏可不填，下同。</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rPr>
        <w:t xml:space="preserve">6.用线划除的地方无需填写。</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rPr>
        <w:t xml:space="preserve">7.请供应商如实填写，如填写有误，将承担一切不利后果。</w:t>
      </w:r>
      <w:r/>
    </w:p>
    <w:p>
      <w:pPr>
        <w:pStyle w:val="857"/>
        <w:ind w:firstLine="480"/>
        <w:jc w:val="both"/>
        <w:spacing w:before="0" w:beforeAutospacing="0" w:after="0" w:afterAutospacing="0"/>
        <w:widowControl w:val="off"/>
        <w:rPr>
          <w:rFonts w:hint="eastAsia"/>
          <w:color w:val="auto"/>
          <w:highlight w:val="none"/>
        </w:rPr>
      </w:pPr>
      <w:r>
        <w:rPr>
          <w:color w:val="auto"/>
          <w:szCs w:val="24"/>
          <w:highlight w:val="none"/>
        </w:rPr>
        <w:t xml:space="preserve">8.供应商提供虚假《声明函》、虚假证明文件谋取中标的，依照《中华人民共和国政府采购法》等法律法规规定追究相应责任。</w:t>
      </w:r>
      <w:r/>
    </w:p>
    <w:p>
      <w:pPr>
        <w:pStyle w:val="857"/>
        <w:ind w:firstLine="480"/>
        <w:jc w:val="both"/>
        <w:spacing w:before="0" w:beforeAutospacing="0" w:after="0" w:afterAutospacing="0"/>
        <w:widowControl w:val="off"/>
        <w:rPr>
          <w:rFonts w:hint="eastAsia"/>
          <w:color w:val="auto"/>
          <w:szCs w:val="24"/>
          <w:highlight w:val="none"/>
        </w:rPr>
      </w:pPr>
      <w:r>
        <w:rPr>
          <w:color w:val="auto"/>
          <w:szCs w:val="24"/>
          <w:highlight w:val="none"/>
        </w:rPr>
        <w:t xml:space="preserve">9.中标人的《声明函》或有关证明文件随中标结果公开，接受社会监督。</w:t>
      </w:r>
      <w:r/>
    </w:p>
    <w:p>
      <w:pPr>
        <w:pStyle w:val="857"/>
        <w:ind w:firstLine="480"/>
        <w:jc w:val="both"/>
        <w:spacing w:before="0" w:beforeAutospacing="0" w:after="0" w:afterAutospacing="0"/>
        <w:widowControl w:val="off"/>
        <w:rPr>
          <w:rFonts w:hint="eastAsia"/>
          <w:color w:val="auto"/>
          <w:szCs w:val="24"/>
          <w:highlight w:val="none"/>
        </w:rPr>
      </w:pPr>
      <w:r>
        <w:rPr>
          <w:rFonts w:hint="eastAsia"/>
          <w:color w:val="auto"/>
          <w:szCs w:val="24"/>
          <w:highlight w:val="none"/>
        </w:rPr>
      </w:r>
      <w:r/>
    </w:p>
    <w:p>
      <w:pPr>
        <w:pStyle w:val="857"/>
        <w:ind w:firstLine="480"/>
        <w:jc w:val="both"/>
        <w:spacing w:before="0" w:beforeAutospacing="0" w:after="0" w:afterAutospacing="0"/>
        <w:widowControl w:val="off"/>
        <w:rPr>
          <w:rFonts w:hint="eastAsia"/>
          <w:color w:val="auto"/>
          <w:szCs w:val="24"/>
          <w:highlight w:val="none"/>
        </w:rPr>
      </w:pPr>
      <w:r>
        <w:rPr>
          <w:rFonts w:hint="eastAsia"/>
          <w:color w:val="auto"/>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z w:val="28"/>
          <w:szCs w:val="28"/>
          <w:highlight w:val="none"/>
        </w:rPr>
        <w:t xml:space="preserve">质疑函范本</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一、质疑供应商基本信息</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质疑供应商：</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二、质疑项目基本情况</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质疑项目的名称：</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质疑项目的编号：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包号：</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采购人名称：</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采购文件获取日期：</w:t>
      </w:r>
      <w:r>
        <w:rPr>
          <w:rFonts w:hint="eastAsia" w:ascii="宋体" w:hAnsi="宋体" w:cs="宋体"/>
          <w:color w:val="auto"/>
          <w:szCs w:val="21"/>
          <w:highlight w:val="none"/>
          <w:u w:val="singl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三、质疑事项具体内容</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质疑事项1：</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事实依据：</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法律依据：</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质疑事项2</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四、与质疑事项相关的质疑请求</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请求：</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签字(签章)：                   公章：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质疑函制作说明：</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1.供应商提出质疑时，应提交质疑函和必要的证明材料。</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3.质疑供应商若对项目的某一分包进行质疑，质疑函中应列明具体分包号。</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4.质疑函的质疑事项应具体、明确，并有必要的事实依据和法律依据。</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5.质疑函的质疑请求应与质疑事项相关。</w:t>
      </w:r>
      <w:r/>
    </w:p>
    <w:p>
      <w:pPr>
        <w:ind w:firstLine="420"/>
        <w:jc w:val="left"/>
        <w:spacing w:line="360" w:lineRule="auto"/>
        <w:widowControl/>
        <w:rPr>
          <w:color w:val="auto"/>
          <w:highlight w:val="none"/>
        </w:rPr>
      </w:pPr>
      <w:r>
        <w:rPr>
          <w:rFonts w:hint="eastAsia" w:ascii="宋体" w:hAnsi="宋体" w:cs="宋体"/>
          <w:color w:val="auto"/>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ascii="宋体" w:hAnsi="Courier New"/>
          <w:color w:val="auto"/>
          <w:sz w:val="24"/>
          <w:szCs w:val="24"/>
          <w:highlight w:val="none"/>
        </w:rPr>
      </w:pPr>
      <w:r>
        <w:rPr>
          <w:rFonts w:ascii="宋体" w:hAnsi="Courier New"/>
          <w:color w:val="auto"/>
          <w:sz w:val="24"/>
          <w:szCs w:val="24"/>
          <w:highlight w:val="none"/>
        </w:rPr>
      </w:r>
      <w:r/>
    </w:p>
    <w:p>
      <w:pPr>
        <w:rPr>
          <w:rFonts w:ascii="Times New Roman" w:hAnsi="Times New Roman"/>
          <w:color w:val="auto"/>
          <w:szCs w:val="24"/>
          <w:highlight w:val="none"/>
        </w:rPr>
      </w:pPr>
      <w:r>
        <w:rPr>
          <w:rFonts w:ascii="Times New Roman" w:hAnsi="Times New Roman"/>
          <w:color w:val="auto"/>
          <w:szCs w:val="24"/>
          <w:highlight w:val="none"/>
        </w:rPr>
      </w:r>
      <w:r/>
    </w:p>
    <w:p>
      <w:pPr>
        <w:spacing w:line="400" w:lineRule="exact"/>
        <w:rPr>
          <w:rFonts w:hint="eastAsia" w:ascii="宋体" w:hAnsi="宋体" w:cs="宋体"/>
          <w:b/>
          <w:color w:val="auto"/>
          <w:sz w:val="24"/>
          <w:szCs w:val="20"/>
          <w:highlight w:val="none"/>
        </w:rPr>
      </w:pPr>
      <w:r>
        <w:rPr>
          <w:rFonts w:hint="eastAsia" w:ascii="宋体" w:hAnsi="宋体" w:cs="宋体"/>
          <w:b/>
          <w:color w:val="auto"/>
          <w:sz w:val="24"/>
          <w:szCs w:val="20"/>
          <w:highlight w:val="none"/>
        </w:rPr>
      </w:r>
      <w:r/>
    </w:p>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MS Mincho">
    <w:panose1 w:val="02020603050405090304"/>
  </w:font>
  <w:font w:name="Tahoma">
    <w:panose1 w:val="020B060403050404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rFonts w:ascii="Times New Roman" w:hAnsi="Times New Roman"/>
                              <w:sz w:val="18"/>
                              <w:szCs w:val="18"/>
                            </w:rPr>
                          </w:pPr>
                          <w:r>
                            <w:rPr>
                              <w:rFonts w:hint="eastAsia" w:ascii="Times New Roman" w:hAnsi="Times New Roman"/>
                              <w:sz w:val="18"/>
                              <w:szCs w:val="21"/>
                            </w:rPr>
                            <w:t xml:space="preserve">第 </w:t>
                          </w:r>
                          <w:r>
                            <w:rPr>
                              <w:rFonts w:ascii="Times New Roman" w:hAnsi="Times New Roman"/>
                              <w:sz w:val="18"/>
                              <w:szCs w:val="21"/>
                            </w:rPr>
                            <w:fldChar w:fldCharType="begin"/>
                          </w:r>
                          <w:r>
                            <w:rPr>
                              <w:rFonts w:ascii="Times New Roman" w:hAnsi="Times New Roman"/>
                              <w:sz w:val="18"/>
                              <w:szCs w:val="21"/>
                            </w:rPr>
                            <w:instrText xml:space="preserve"> PAGE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 共 </w:t>
                          </w:r>
                          <w:r>
                            <w:rPr>
                              <w:rFonts w:ascii="Times New Roman" w:hAnsi="Times New Roman"/>
                              <w:sz w:val="18"/>
                              <w:szCs w:val="21"/>
                            </w:rPr>
                            <w:fldChar w:fldCharType="begin"/>
                          </w:r>
                          <w:r>
                            <w:rPr>
                              <w:rFonts w:ascii="Times New Roman" w:hAnsi="Times New Roman"/>
                              <w:sz w:val="18"/>
                              <w:szCs w:val="21"/>
                            </w:rPr>
                            <w:instrText xml:space="preserve"> NUMPAGES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rFonts w:ascii="Times New Roman" w:hAnsi="Times New Roman"/>
                        <w:sz w:val="18"/>
                        <w:szCs w:val="18"/>
                      </w:rPr>
                    </w:pPr>
                    <w:r>
                      <w:rPr>
                        <w:rFonts w:hint="eastAsia" w:ascii="Times New Roman" w:hAnsi="Times New Roman"/>
                        <w:sz w:val="18"/>
                        <w:szCs w:val="21"/>
                      </w:rPr>
                      <w:t xml:space="preserve">第 </w:t>
                    </w:r>
                    <w:r>
                      <w:rPr>
                        <w:rFonts w:ascii="Times New Roman" w:hAnsi="Times New Roman"/>
                        <w:sz w:val="18"/>
                        <w:szCs w:val="21"/>
                      </w:rPr>
                      <w:fldChar w:fldCharType="begin"/>
                    </w:r>
                    <w:r>
                      <w:rPr>
                        <w:rFonts w:ascii="Times New Roman" w:hAnsi="Times New Roman"/>
                        <w:sz w:val="18"/>
                        <w:szCs w:val="21"/>
                      </w:rPr>
                      <w:instrText xml:space="preserve"> PAGE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 共 </w:t>
                    </w:r>
                    <w:r>
                      <w:rPr>
                        <w:rFonts w:ascii="Times New Roman" w:hAnsi="Times New Roman"/>
                        <w:sz w:val="18"/>
                        <w:szCs w:val="21"/>
                      </w:rPr>
                      <w:fldChar w:fldCharType="begin"/>
                    </w:r>
                    <w:r>
                      <w:rPr>
                        <w:rFonts w:ascii="Times New Roman" w:hAnsi="Times New Roman"/>
                        <w:sz w:val="18"/>
                        <w:szCs w:val="21"/>
                      </w:rPr>
                      <w:instrText xml:space="preserve"> NUMPAGES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041"/>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Style w:val="1041"/>
        <w:rFonts w:ascii="Times New Roman" w:hAnsi="Times New Roman"/>
        <w:szCs w:val="24"/>
      </w:rPr>
      <w:instrText xml:space="preserve">PAGE  </w:instrText>
    </w:r>
    <w:r>
      <w:rPr>
        <w:rFonts w:ascii="Times New Roman" w:hAnsi="Times New Roman"/>
        <w:sz w:val="18"/>
        <w:szCs w:val="18"/>
      </w:rPr>
      <w:fldChar w:fldCharType="end"/>
    </w:r>
    <w:r/>
  </w:p>
  <w:p>
    <w:pPr>
      <w:jc w:val="left"/>
      <w:rPr>
        <w:rFonts w:ascii="Times New Roman" w:hAnsi="Times New Roman"/>
        <w:sz w:val="18"/>
        <w:szCs w:val="18"/>
      </w:rPr>
    </w:pPr>
    <w:r>
      <w:rPr>
        <w:rFonts w:ascii="Times New Roman" w:hAnsi="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r/>
                    <w:r/>
                  </w:p>
                </w:txbxContent>
              </v:textbox>
            </v:shape>
          </w:pict>
        </mc:Fallback>
      </mc:AlternateContent>
    </w:r>
    <w:r/>
  </w:p>
  <w:p>
    <w:pPr>
      <w:pStyle w:val="10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rFonts w:ascii="Times New Roman" w:hAnsi="Times New Roman"/>
        <w:sz w:val="18"/>
        <w:szCs w:val="18"/>
      </w:rPr>
      <w:pBdr>
        <w:bottom w:val="single" w:color="000000" w:sz="6" w:space="1"/>
      </w:pBd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837"/>
    <w:link w:val="828"/>
    <w:uiPriority w:val="9"/>
    <w:rPr>
      <w:rFonts w:ascii="Arial" w:hAnsi="Arial" w:eastAsia="Arial" w:cs="Arial"/>
      <w:sz w:val="40"/>
      <w:szCs w:val="40"/>
    </w:rPr>
  </w:style>
  <w:style w:type="character" w:styleId="791">
    <w:name w:val="Heading 2 Char"/>
    <w:basedOn w:val="837"/>
    <w:link w:val="829"/>
    <w:uiPriority w:val="9"/>
    <w:rPr>
      <w:rFonts w:ascii="Arial" w:hAnsi="Arial" w:eastAsia="Arial" w:cs="Arial"/>
      <w:sz w:val="34"/>
    </w:rPr>
  </w:style>
  <w:style w:type="character" w:styleId="792">
    <w:name w:val="Heading 3 Char"/>
    <w:basedOn w:val="837"/>
    <w:link w:val="830"/>
    <w:uiPriority w:val="9"/>
    <w:rPr>
      <w:rFonts w:ascii="Arial" w:hAnsi="Arial" w:eastAsia="Arial" w:cs="Arial"/>
      <w:sz w:val="30"/>
      <w:szCs w:val="30"/>
    </w:rPr>
  </w:style>
  <w:style w:type="character" w:styleId="793">
    <w:name w:val="Heading 4 Char"/>
    <w:basedOn w:val="837"/>
    <w:link w:val="831"/>
    <w:uiPriority w:val="9"/>
    <w:rPr>
      <w:rFonts w:ascii="Arial" w:hAnsi="Arial" w:eastAsia="Arial" w:cs="Arial"/>
      <w:b/>
      <w:bCs/>
      <w:sz w:val="26"/>
      <w:szCs w:val="26"/>
    </w:rPr>
  </w:style>
  <w:style w:type="character" w:styleId="794">
    <w:name w:val="Heading 5 Char"/>
    <w:basedOn w:val="837"/>
    <w:link w:val="832"/>
    <w:uiPriority w:val="9"/>
    <w:rPr>
      <w:rFonts w:ascii="Arial" w:hAnsi="Arial" w:eastAsia="Arial" w:cs="Arial"/>
      <w:b/>
      <w:bCs/>
      <w:sz w:val="24"/>
      <w:szCs w:val="24"/>
    </w:rPr>
  </w:style>
  <w:style w:type="character" w:styleId="795">
    <w:name w:val="Heading 6 Char"/>
    <w:basedOn w:val="837"/>
    <w:link w:val="833"/>
    <w:uiPriority w:val="9"/>
    <w:rPr>
      <w:rFonts w:ascii="Arial" w:hAnsi="Arial" w:eastAsia="Arial" w:cs="Arial"/>
      <w:b/>
      <w:bCs/>
      <w:sz w:val="22"/>
      <w:szCs w:val="22"/>
    </w:rPr>
  </w:style>
  <w:style w:type="character" w:styleId="796">
    <w:name w:val="Heading 7 Char"/>
    <w:basedOn w:val="837"/>
    <w:link w:val="834"/>
    <w:uiPriority w:val="9"/>
    <w:rPr>
      <w:rFonts w:ascii="Arial" w:hAnsi="Arial" w:eastAsia="Arial" w:cs="Arial"/>
      <w:b/>
      <w:bCs/>
      <w:i/>
      <w:iCs/>
      <w:sz w:val="22"/>
      <w:szCs w:val="22"/>
    </w:rPr>
  </w:style>
  <w:style w:type="character" w:styleId="797">
    <w:name w:val="Heading 8 Char"/>
    <w:basedOn w:val="837"/>
    <w:link w:val="835"/>
    <w:uiPriority w:val="9"/>
    <w:rPr>
      <w:rFonts w:ascii="Arial" w:hAnsi="Arial" w:eastAsia="Arial" w:cs="Arial"/>
      <w:i/>
      <w:iCs/>
      <w:sz w:val="22"/>
      <w:szCs w:val="22"/>
    </w:rPr>
  </w:style>
  <w:style w:type="character" w:styleId="798">
    <w:name w:val="Heading 9 Char"/>
    <w:basedOn w:val="837"/>
    <w:link w:val="836"/>
    <w:uiPriority w:val="9"/>
    <w:rPr>
      <w:rFonts w:ascii="Arial" w:hAnsi="Arial" w:eastAsia="Arial" w:cs="Arial"/>
      <w:i/>
      <w:iCs/>
      <w:sz w:val="21"/>
      <w:szCs w:val="21"/>
    </w:rPr>
  </w:style>
  <w:style w:type="character" w:styleId="799">
    <w:name w:val="Title Char"/>
    <w:basedOn w:val="837"/>
    <w:link w:val="858"/>
    <w:uiPriority w:val="10"/>
    <w:rPr>
      <w:sz w:val="48"/>
      <w:szCs w:val="48"/>
    </w:rPr>
  </w:style>
  <w:style w:type="character" w:styleId="800">
    <w:name w:val="Subtitle Char"/>
    <w:basedOn w:val="837"/>
    <w:link w:val="851"/>
    <w:uiPriority w:val="11"/>
    <w:rPr>
      <w:sz w:val="24"/>
      <w:szCs w:val="24"/>
    </w:rPr>
  </w:style>
  <w:style w:type="character" w:styleId="801">
    <w:name w:val="Quote Char"/>
    <w:link w:val="877"/>
    <w:uiPriority w:val="29"/>
    <w:rPr>
      <w:i/>
    </w:rPr>
  </w:style>
  <w:style w:type="character" w:styleId="802">
    <w:name w:val="Intense Quote Char"/>
    <w:link w:val="879"/>
    <w:uiPriority w:val="30"/>
    <w:rPr>
      <w:i/>
    </w:rPr>
  </w:style>
  <w:style w:type="character" w:styleId="803">
    <w:name w:val="Header Char"/>
    <w:basedOn w:val="837"/>
    <w:link w:val="848"/>
    <w:uiPriority w:val="99"/>
  </w:style>
  <w:style w:type="character" w:styleId="804">
    <w:name w:val="Caption Char"/>
    <w:basedOn w:val="840"/>
    <w:link w:val="847"/>
    <w:uiPriority w:val="99"/>
  </w:style>
  <w:style w:type="table" w:styleId="805">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4">
    <w:name w:val="Footnote Text Char"/>
    <w:link w:val="852"/>
    <w:uiPriority w:val="99"/>
    <w:rPr>
      <w:sz w:val="18"/>
    </w:rPr>
  </w:style>
  <w:style w:type="character" w:styleId="825">
    <w:name w:val="Endnote Text Char"/>
    <w:link w:val="846"/>
    <w:uiPriority w:val="99"/>
    <w:rPr>
      <w:sz w:val="20"/>
    </w:rPr>
  </w:style>
  <w:style w:type="paragraph" w:styleId="826">
    <w:name w:val="TOC Heading"/>
    <w:uiPriority w:val="39"/>
    <w:unhideWhenUsed/>
  </w:style>
  <w:style w:type="paragraph" w:styleId="82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28">
    <w:name w:val="Heading 1"/>
    <w:basedOn w:val="827"/>
    <w:next w:val="827"/>
    <w:link w:val="865"/>
    <w:uiPriority w:val="9"/>
    <w:qFormat/>
    <w:pPr>
      <w:keepLines/>
      <w:keepNext/>
      <w:spacing w:before="480" w:after="200"/>
      <w:outlineLvl w:val="0"/>
    </w:pPr>
    <w:rPr>
      <w:rFonts w:ascii="Arial" w:hAnsi="Arial" w:eastAsia="Arial" w:cs="Arial"/>
      <w:sz w:val="40"/>
      <w:szCs w:val="40"/>
    </w:rPr>
  </w:style>
  <w:style w:type="paragraph" w:styleId="829">
    <w:name w:val="Heading 2"/>
    <w:basedOn w:val="827"/>
    <w:next w:val="827"/>
    <w:link w:val="866"/>
    <w:uiPriority w:val="9"/>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867"/>
    <w:uiPriority w:val="9"/>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27"/>
    <w:link w:val="868"/>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869"/>
    <w:uiPriority w:val="9"/>
    <w:unhideWhenUsed/>
    <w:qFormat/>
    <w:pPr>
      <w:keepLines/>
      <w:keepNext/>
      <w:spacing w:before="320" w:after="200"/>
      <w:outlineLvl w:val="4"/>
    </w:pPr>
    <w:rPr>
      <w:rFonts w:ascii="Arial" w:hAnsi="Arial" w:eastAsia="Arial" w:cs="Arial"/>
      <w:b/>
      <w:bCs/>
      <w:sz w:val="24"/>
      <w:szCs w:val="24"/>
    </w:rPr>
  </w:style>
  <w:style w:type="paragraph" w:styleId="833">
    <w:name w:val="Heading 6"/>
    <w:basedOn w:val="827"/>
    <w:next w:val="827"/>
    <w:link w:val="870"/>
    <w:uiPriority w:val="9"/>
    <w:unhideWhenUsed/>
    <w:qFormat/>
    <w:pPr>
      <w:keepLines/>
      <w:keepNext/>
      <w:spacing w:before="320" w:after="200"/>
      <w:outlineLvl w:val="5"/>
    </w:pPr>
    <w:rPr>
      <w:rFonts w:ascii="Arial" w:hAnsi="Arial" w:eastAsia="Arial" w:cs="Arial"/>
      <w:b/>
      <w:bCs/>
      <w:sz w:val="22"/>
    </w:rPr>
  </w:style>
  <w:style w:type="paragraph" w:styleId="834">
    <w:name w:val="Heading 7"/>
    <w:basedOn w:val="827"/>
    <w:next w:val="827"/>
    <w:link w:val="871"/>
    <w:uiPriority w:val="9"/>
    <w:unhideWhenUsed/>
    <w:qFormat/>
    <w:pPr>
      <w:keepLines/>
      <w:keepNext/>
      <w:spacing w:before="320" w:after="200"/>
      <w:outlineLvl w:val="6"/>
    </w:pPr>
    <w:rPr>
      <w:rFonts w:ascii="Arial" w:hAnsi="Arial" w:eastAsia="Arial" w:cs="Arial"/>
      <w:b/>
      <w:bCs/>
      <w:i/>
      <w:iCs/>
      <w:sz w:val="22"/>
    </w:rPr>
  </w:style>
  <w:style w:type="paragraph" w:styleId="835">
    <w:name w:val="Heading 8"/>
    <w:basedOn w:val="827"/>
    <w:next w:val="827"/>
    <w:link w:val="872"/>
    <w:uiPriority w:val="9"/>
    <w:unhideWhenUsed/>
    <w:qFormat/>
    <w:pPr>
      <w:keepLines/>
      <w:keepNext/>
      <w:spacing w:before="320" w:after="200"/>
      <w:outlineLvl w:val="7"/>
    </w:pPr>
    <w:rPr>
      <w:rFonts w:ascii="Arial" w:hAnsi="Arial" w:eastAsia="Arial" w:cs="Arial"/>
      <w:i/>
      <w:iCs/>
      <w:sz w:val="22"/>
    </w:rPr>
  </w:style>
  <w:style w:type="paragraph" w:styleId="836">
    <w:name w:val="Heading 9"/>
    <w:basedOn w:val="827"/>
    <w:next w:val="827"/>
    <w:link w:val="873"/>
    <w:uiPriority w:val="9"/>
    <w:unhideWhenUsed/>
    <w:qFormat/>
    <w:pPr>
      <w:keepLines/>
      <w:keepNext/>
      <w:spacing w:before="320" w:after="200"/>
      <w:outlineLvl w:val="8"/>
    </w:pPr>
    <w:rPr>
      <w:rFonts w:ascii="Arial" w:hAnsi="Arial" w:eastAsia="Arial" w:cs="Arial"/>
      <w:i/>
      <w:iCs/>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toc 7"/>
    <w:basedOn w:val="827"/>
    <w:next w:val="827"/>
    <w:uiPriority w:val="39"/>
    <w:unhideWhenUsed/>
    <w:qFormat/>
    <w:pPr>
      <w:ind w:left="1701"/>
      <w:spacing w:after="57"/>
    </w:pPr>
  </w:style>
  <w:style w:type="paragraph" w:styleId="840">
    <w:name w:val="Caption"/>
    <w:basedOn w:val="827"/>
    <w:next w:val="8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1">
    <w:name w:val="toa heading"/>
    <w:basedOn w:val="827"/>
    <w:next w:val="827"/>
    <w:uiPriority w:val="99"/>
    <w:unhideWhenUsed/>
    <w:qFormat/>
    <w:pPr>
      <w:spacing w:before="120"/>
    </w:pPr>
    <w:rPr>
      <w:rFonts w:ascii="Cambria" w:hAnsi="Cambria"/>
      <w:sz w:val="24"/>
      <w:szCs w:val="24"/>
    </w:rPr>
  </w:style>
  <w:style w:type="paragraph" w:styleId="842">
    <w:name w:val="Body Text Indent"/>
    <w:basedOn w:val="827"/>
    <w:uiPriority w:val="99"/>
    <w:qFormat/>
    <w:pPr>
      <w:ind w:firstLine="301"/>
      <w:spacing w:line="200" w:lineRule="exact"/>
    </w:pPr>
    <w:rPr>
      <w:rFonts w:ascii="Tahoma" w:hAnsi="黑体"/>
      <w:spacing w:val="-4"/>
      <w:sz w:val="18"/>
      <w:szCs w:val="20"/>
    </w:rPr>
  </w:style>
  <w:style w:type="paragraph" w:styleId="843">
    <w:name w:val="toc 5"/>
    <w:basedOn w:val="827"/>
    <w:next w:val="827"/>
    <w:uiPriority w:val="39"/>
    <w:unhideWhenUsed/>
    <w:qFormat/>
    <w:pPr>
      <w:ind w:left="1134"/>
      <w:spacing w:after="57"/>
    </w:pPr>
  </w:style>
  <w:style w:type="paragraph" w:styleId="844">
    <w:name w:val="toc 3"/>
    <w:basedOn w:val="827"/>
    <w:next w:val="827"/>
    <w:uiPriority w:val="39"/>
    <w:unhideWhenUsed/>
    <w:qFormat/>
    <w:pPr>
      <w:ind w:left="567"/>
      <w:spacing w:after="57"/>
    </w:pPr>
  </w:style>
  <w:style w:type="paragraph" w:styleId="845">
    <w:name w:val="toc 8"/>
    <w:basedOn w:val="827"/>
    <w:next w:val="827"/>
    <w:uiPriority w:val="39"/>
    <w:unhideWhenUsed/>
    <w:qFormat/>
    <w:pPr>
      <w:ind w:left="1984"/>
      <w:spacing w:after="57"/>
    </w:pPr>
  </w:style>
  <w:style w:type="paragraph" w:styleId="846">
    <w:name w:val="endnote text"/>
    <w:basedOn w:val="827"/>
    <w:link w:val="1010"/>
    <w:uiPriority w:val="99"/>
    <w:semiHidden/>
    <w:unhideWhenUsed/>
    <w:qFormat/>
    <w:rPr>
      <w:sz w:val="20"/>
    </w:rPr>
  </w:style>
  <w:style w:type="paragraph" w:styleId="847">
    <w:name w:val="Footer"/>
    <w:basedOn w:val="827"/>
    <w:link w:val="883"/>
    <w:uiPriority w:val="99"/>
    <w:unhideWhenUsed/>
    <w:qFormat/>
    <w:pPr>
      <w:tabs>
        <w:tab w:val="center" w:pos="7143" w:leader="none"/>
        <w:tab w:val="right" w:pos="14287" w:leader="none"/>
      </w:tabs>
    </w:pPr>
  </w:style>
  <w:style w:type="paragraph" w:styleId="848">
    <w:name w:val="Header"/>
    <w:basedOn w:val="827"/>
    <w:link w:val="881"/>
    <w:uiPriority w:val="99"/>
    <w:unhideWhenUsed/>
    <w:qFormat/>
    <w:pPr>
      <w:tabs>
        <w:tab w:val="center" w:pos="7143" w:leader="none"/>
        <w:tab w:val="right" w:pos="14287" w:leader="none"/>
      </w:tabs>
    </w:pPr>
  </w:style>
  <w:style w:type="paragraph" w:styleId="849">
    <w:name w:val="toc 1"/>
    <w:basedOn w:val="827"/>
    <w:next w:val="827"/>
    <w:uiPriority w:val="39"/>
    <w:unhideWhenUsed/>
    <w:qFormat/>
    <w:pPr>
      <w:spacing w:after="57"/>
    </w:pPr>
  </w:style>
  <w:style w:type="paragraph" w:styleId="850">
    <w:name w:val="toc 4"/>
    <w:basedOn w:val="827"/>
    <w:next w:val="827"/>
    <w:uiPriority w:val="39"/>
    <w:unhideWhenUsed/>
    <w:qFormat/>
    <w:pPr>
      <w:ind w:left="850"/>
      <w:spacing w:after="57"/>
    </w:pPr>
  </w:style>
  <w:style w:type="paragraph" w:styleId="851">
    <w:name w:val="Subtitle"/>
    <w:basedOn w:val="827"/>
    <w:next w:val="827"/>
    <w:link w:val="876"/>
    <w:uiPriority w:val="11"/>
    <w:qFormat/>
    <w:pPr>
      <w:spacing w:before="200" w:after="200"/>
    </w:pPr>
    <w:rPr>
      <w:sz w:val="24"/>
      <w:szCs w:val="24"/>
    </w:rPr>
  </w:style>
  <w:style w:type="paragraph" w:styleId="852">
    <w:name w:val="footnote text"/>
    <w:basedOn w:val="827"/>
    <w:link w:val="1009"/>
    <w:uiPriority w:val="99"/>
    <w:semiHidden/>
    <w:unhideWhenUsed/>
    <w:qFormat/>
    <w:pPr>
      <w:spacing w:after="40"/>
    </w:pPr>
    <w:rPr>
      <w:sz w:val="18"/>
    </w:rPr>
  </w:style>
  <w:style w:type="paragraph" w:styleId="853">
    <w:name w:val="toc 6"/>
    <w:basedOn w:val="827"/>
    <w:next w:val="827"/>
    <w:uiPriority w:val="39"/>
    <w:unhideWhenUsed/>
    <w:qFormat/>
    <w:pPr>
      <w:ind w:left="1417"/>
      <w:spacing w:after="57"/>
    </w:pPr>
  </w:style>
  <w:style w:type="paragraph" w:styleId="854">
    <w:name w:val="table of figures"/>
    <w:basedOn w:val="827"/>
    <w:next w:val="827"/>
    <w:uiPriority w:val="99"/>
    <w:unhideWhenUsed/>
    <w:qFormat/>
  </w:style>
  <w:style w:type="paragraph" w:styleId="855">
    <w:name w:val="toc 2"/>
    <w:basedOn w:val="827"/>
    <w:next w:val="827"/>
    <w:uiPriority w:val="39"/>
    <w:unhideWhenUsed/>
    <w:qFormat/>
    <w:pPr>
      <w:ind w:left="283"/>
      <w:spacing w:after="57"/>
    </w:pPr>
  </w:style>
  <w:style w:type="paragraph" w:styleId="856">
    <w:name w:val="toc 9"/>
    <w:basedOn w:val="827"/>
    <w:next w:val="827"/>
    <w:uiPriority w:val="39"/>
    <w:unhideWhenUsed/>
    <w:qFormat/>
    <w:pPr>
      <w:ind w:left="2268"/>
      <w:spacing w:after="57"/>
    </w:pPr>
  </w:style>
  <w:style w:type="paragraph" w:styleId="857">
    <w:name w:val="Normal (Web)"/>
    <w:basedOn w:val="827"/>
    <w:uiPriority w:val="0"/>
    <w:unhideWhenUsed/>
    <w:qFormat/>
    <w:pPr>
      <w:jc w:val="left"/>
      <w:spacing w:before="100" w:beforeAutospacing="1" w:after="100" w:afterAutospacing="1"/>
      <w:widowControl/>
    </w:pPr>
    <w:rPr>
      <w:rFonts w:ascii="宋体" w:hAnsi="宋体" w:cs="宋体"/>
      <w:sz w:val="24"/>
    </w:rPr>
  </w:style>
  <w:style w:type="paragraph" w:styleId="858">
    <w:name w:val="Title"/>
    <w:basedOn w:val="827"/>
    <w:next w:val="827"/>
    <w:link w:val="875"/>
    <w:uiPriority w:val="10"/>
    <w:qFormat/>
    <w:pPr>
      <w:contextualSpacing/>
      <w:spacing w:before="300" w:after="200"/>
    </w:pPr>
    <w:rPr>
      <w:sz w:val="48"/>
      <w:szCs w:val="48"/>
    </w:rPr>
  </w:style>
  <w:style w:type="table" w:styleId="8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endnote reference"/>
    <w:uiPriority w:val="99"/>
    <w:semiHidden/>
    <w:unhideWhenUsed/>
    <w:qFormat/>
    <w:rPr>
      <w:vertAlign w:val="superscript"/>
    </w:rPr>
  </w:style>
  <w:style w:type="character" w:styleId="861">
    <w:name w:val="Hyperlink"/>
    <w:uiPriority w:val="99"/>
    <w:unhideWhenUsed/>
    <w:qFormat/>
    <w:rPr>
      <w:color w:val="0000ff" w:themeColor="hyperlink"/>
      <w:u w:val="single"/>
      <w14:textFill>
        <w14:solidFill>
          <w14:schemeClr w14:val="hlink"/>
        </w14:solidFill>
      </w14:textFill>
    </w:rPr>
  </w:style>
  <w:style w:type="character" w:styleId="862">
    <w:name w:val="footnote reference"/>
    <w:uiPriority w:val="99"/>
    <w:unhideWhenUsed/>
    <w:qFormat/>
    <w:rPr>
      <w:vertAlign w:val="superscript"/>
    </w:rPr>
  </w:style>
  <w:style w:type="paragraph" w:styleId="863" w:customStyle="1">
    <w:name w:val="Default"/>
    <w:link w:val="1045"/>
    <w:uiPriority w:val="99"/>
    <w:qFormat/>
    <w:pPr>
      <w:widowControl w:val="off"/>
    </w:pPr>
    <w:rPr>
      <w:rFonts w:ascii="MS Mincho" w:hAnsi="Calibri" w:eastAsia="宋体" w:cs="Times New Roman"/>
      <w:color w:val="000000"/>
      <w:szCs w:val="24"/>
      <w:lang w:val="en-US" w:eastAsia="zh-CN" w:bidi="ar-SA"/>
    </w:rPr>
  </w:style>
  <w:style w:type="paragraph" w:styleId="864" w:customStyle="1">
    <w:name w:val="正文文本1"/>
    <w:next w:val="827"/>
    <w:uiPriority w:val="0"/>
    <w:qFormat/>
    <w:pPr>
      <w:jc w:val="both"/>
      <w:widowControl w:val="off"/>
    </w:pPr>
    <w:rPr>
      <w:rFonts w:ascii="Times New Roman" w:hAnsi="Times New Roman" w:eastAsia="楷体_GB2312" w:cs="Times New Roman"/>
      <w:b/>
      <w:bCs/>
      <w:color w:val="ff0000"/>
      <w:sz w:val="32"/>
      <w:szCs w:val="32"/>
      <w:lang w:val="zh-CN" w:eastAsia="zh-CN" w:bidi="ar-SA"/>
    </w:rPr>
  </w:style>
  <w:style w:type="character" w:styleId="865" w:customStyle="1">
    <w:name w:val="标题 1 字符"/>
    <w:link w:val="828"/>
    <w:uiPriority w:val="9"/>
    <w:qFormat/>
    <w:rPr>
      <w:rFonts w:ascii="Arial" w:hAnsi="Arial" w:eastAsia="Arial" w:cs="Arial"/>
      <w:sz w:val="40"/>
      <w:szCs w:val="40"/>
    </w:rPr>
  </w:style>
  <w:style w:type="character" w:styleId="866" w:customStyle="1">
    <w:name w:val="标题 2 字符"/>
    <w:link w:val="829"/>
    <w:uiPriority w:val="9"/>
    <w:qFormat/>
    <w:rPr>
      <w:rFonts w:ascii="Arial" w:hAnsi="Arial" w:eastAsia="Arial" w:cs="Arial"/>
      <w:sz w:val="34"/>
    </w:rPr>
  </w:style>
  <w:style w:type="character" w:styleId="867" w:customStyle="1">
    <w:name w:val="标题 3 字符"/>
    <w:link w:val="830"/>
    <w:uiPriority w:val="9"/>
    <w:qFormat/>
    <w:rPr>
      <w:rFonts w:ascii="Arial" w:hAnsi="Arial" w:eastAsia="Arial" w:cs="Arial"/>
      <w:sz w:val="30"/>
      <w:szCs w:val="30"/>
    </w:rPr>
  </w:style>
  <w:style w:type="character" w:styleId="868" w:customStyle="1">
    <w:name w:val="标题 4 字符"/>
    <w:link w:val="831"/>
    <w:uiPriority w:val="9"/>
    <w:qFormat/>
    <w:rPr>
      <w:rFonts w:ascii="Arial" w:hAnsi="Arial" w:eastAsia="Arial" w:cs="Arial"/>
      <w:b/>
      <w:bCs/>
      <w:sz w:val="26"/>
      <w:szCs w:val="26"/>
    </w:rPr>
  </w:style>
  <w:style w:type="character" w:styleId="869" w:customStyle="1">
    <w:name w:val="标题 5 字符"/>
    <w:link w:val="832"/>
    <w:uiPriority w:val="9"/>
    <w:qFormat/>
    <w:rPr>
      <w:rFonts w:ascii="Arial" w:hAnsi="Arial" w:eastAsia="Arial" w:cs="Arial"/>
      <w:b/>
      <w:bCs/>
      <w:sz w:val="24"/>
      <w:szCs w:val="24"/>
    </w:rPr>
  </w:style>
  <w:style w:type="character" w:styleId="870" w:customStyle="1">
    <w:name w:val="标题 6 字符"/>
    <w:link w:val="833"/>
    <w:uiPriority w:val="9"/>
    <w:qFormat/>
    <w:rPr>
      <w:rFonts w:ascii="Arial" w:hAnsi="Arial" w:eastAsia="Arial" w:cs="Arial"/>
      <w:b/>
      <w:bCs/>
      <w:sz w:val="22"/>
      <w:szCs w:val="22"/>
    </w:rPr>
  </w:style>
  <w:style w:type="character" w:styleId="871" w:customStyle="1">
    <w:name w:val="标题 7 字符"/>
    <w:link w:val="834"/>
    <w:uiPriority w:val="9"/>
    <w:qFormat/>
    <w:rPr>
      <w:rFonts w:ascii="Arial" w:hAnsi="Arial" w:eastAsia="Arial" w:cs="Arial"/>
      <w:b/>
      <w:bCs/>
      <w:i/>
      <w:iCs/>
      <w:sz w:val="22"/>
      <w:szCs w:val="22"/>
    </w:rPr>
  </w:style>
  <w:style w:type="character" w:styleId="872" w:customStyle="1">
    <w:name w:val="标题 8 字符"/>
    <w:link w:val="835"/>
    <w:uiPriority w:val="9"/>
    <w:qFormat/>
    <w:rPr>
      <w:rFonts w:ascii="Arial" w:hAnsi="Arial" w:eastAsia="Arial" w:cs="Arial"/>
      <w:i/>
      <w:iCs/>
      <w:sz w:val="22"/>
      <w:szCs w:val="22"/>
    </w:rPr>
  </w:style>
  <w:style w:type="character" w:styleId="873" w:customStyle="1">
    <w:name w:val="标题 9 字符"/>
    <w:link w:val="836"/>
    <w:uiPriority w:val="9"/>
    <w:qFormat/>
    <w:rPr>
      <w:rFonts w:ascii="Arial" w:hAnsi="Arial" w:eastAsia="Arial" w:cs="Arial"/>
      <w:i/>
      <w:iCs/>
      <w:sz w:val="21"/>
      <w:szCs w:val="21"/>
    </w:rPr>
  </w:style>
  <w:style w:type="paragraph" w:styleId="874">
    <w:name w:val="No Spacing"/>
    <w:uiPriority w:val="1"/>
    <w:qFormat/>
    <w:rPr>
      <w:rFonts w:ascii="Times New Roman" w:hAnsi="Times New Roman" w:eastAsia="宋体" w:cs="Times New Roman"/>
      <w:lang w:val="en-US" w:eastAsia="zh-CN" w:bidi="ar-SA"/>
    </w:rPr>
  </w:style>
  <w:style w:type="character" w:styleId="875" w:customStyle="1">
    <w:name w:val="标题 字符"/>
    <w:link w:val="858"/>
    <w:uiPriority w:val="10"/>
    <w:qFormat/>
    <w:rPr>
      <w:sz w:val="48"/>
      <w:szCs w:val="48"/>
    </w:rPr>
  </w:style>
  <w:style w:type="character" w:styleId="876" w:customStyle="1">
    <w:name w:val="副标题 字符"/>
    <w:link w:val="851"/>
    <w:uiPriority w:val="11"/>
    <w:qFormat/>
    <w:rPr>
      <w:sz w:val="24"/>
      <w:szCs w:val="24"/>
    </w:rPr>
  </w:style>
  <w:style w:type="paragraph" w:styleId="877">
    <w:name w:val="Quote"/>
    <w:basedOn w:val="827"/>
    <w:next w:val="827"/>
    <w:link w:val="878"/>
    <w:uiPriority w:val="29"/>
    <w:qFormat/>
    <w:pPr>
      <w:ind w:left="720" w:right="720"/>
    </w:pPr>
    <w:rPr>
      <w:i/>
    </w:rPr>
  </w:style>
  <w:style w:type="character" w:styleId="878" w:customStyle="1">
    <w:name w:val="引用 字符"/>
    <w:link w:val="877"/>
    <w:uiPriority w:val="29"/>
    <w:qFormat/>
    <w:rPr>
      <w:i/>
    </w:rPr>
  </w:style>
  <w:style w:type="paragraph" w:styleId="879">
    <w:name w:val="Intense Quote"/>
    <w:basedOn w:val="827"/>
    <w:next w:val="827"/>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qFormat/>
    <w:rPr>
      <w:i/>
    </w:rPr>
  </w:style>
  <w:style w:type="character" w:styleId="881" w:customStyle="1">
    <w:name w:val="页眉 字符"/>
    <w:link w:val="848"/>
    <w:uiPriority w:val="99"/>
    <w:qFormat/>
  </w:style>
  <w:style w:type="character" w:styleId="882" w:customStyle="1">
    <w:name w:val="Footer Char"/>
    <w:uiPriority w:val="99"/>
    <w:qFormat/>
  </w:style>
  <w:style w:type="character" w:styleId="883" w:customStyle="1">
    <w:name w:val="页脚 字符"/>
    <w:link w:val="847"/>
    <w:uiPriority w:val="99"/>
    <w:qFormat/>
  </w:style>
  <w:style w:type="table" w:styleId="8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脚注文本 字符"/>
    <w:link w:val="852"/>
    <w:uiPriority w:val="99"/>
    <w:qFormat/>
    <w:rPr>
      <w:sz w:val="18"/>
    </w:rPr>
  </w:style>
  <w:style w:type="character" w:styleId="1010" w:customStyle="1">
    <w:name w:val="尾注文本 字符"/>
    <w:link w:val="846"/>
    <w:uiPriority w:val="99"/>
    <w:qFormat/>
    <w:rPr>
      <w:sz w:val="20"/>
    </w:rPr>
  </w:style>
  <w:style w:type="paragraph" w:styleId="1011" w:customStyle="1">
    <w:name w:val="TOC 标题1"/>
    <w:uiPriority w:val="39"/>
    <w:unhideWhenUsed/>
    <w:qFormat/>
    <w:rPr>
      <w:rFonts w:ascii="Times New Roman" w:hAnsi="Times New Roman" w:eastAsia="宋体" w:cs="Times New Roman"/>
      <w:lang w:val="en-US" w:eastAsia="zh-CN" w:bidi="ar-SA"/>
    </w:rPr>
  </w:style>
  <w:style w:type="paragraph" w:styleId="1012" w:customStyle="1">
    <w:name w:val="标题 11"/>
    <w:basedOn w:val="827"/>
    <w:next w:val="827"/>
    <w:link w:val="1017"/>
    <w:uiPriority w:val="9"/>
    <w:qFormat/>
    <w:pPr>
      <w:keepLines/>
      <w:keepNext/>
      <w:spacing w:before="340" w:after="330" w:line="578" w:lineRule="auto"/>
      <w:outlineLvl w:val="0"/>
    </w:pPr>
    <w:rPr>
      <w:b/>
      <w:bCs/>
      <w:sz w:val="44"/>
      <w:szCs w:val="44"/>
    </w:rPr>
  </w:style>
  <w:style w:type="paragraph" w:styleId="1013" w:customStyle="1">
    <w:name w:val="标题 21"/>
    <w:basedOn w:val="827"/>
    <w:next w:val="827"/>
    <w:link w:val="1018"/>
    <w:uiPriority w:val="9"/>
    <w:qFormat/>
    <w:pPr>
      <w:keepLines/>
      <w:keepNext/>
      <w:spacing w:before="260" w:after="260" w:line="416" w:lineRule="auto"/>
      <w:outlineLvl w:val="1"/>
    </w:pPr>
    <w:rPr>
      <w:rFonts w:ascii="Cambria" w:hAnsi="Cambria"/>
      <w:b/>
      <w:bCs/>
      <w:sz w:val="32"/>
      <w:szCs w:val="32"/>
    </w:rPr>
  </w:style>
  <w:style w:type="paragraph" w:styleId="1014" w:customStyle="1">
    <w:name w:val="标题 311"/>
    <w:basedOn w:val="827"/>
    <w:next w:val="827"/>
    <w:link w:val="1019"/>
    <w:uiPriority w:val="9"/>
    <w:qFormat/>
    <w:pPr>
      <w:keepLines/>
      <w:keepNext/>
      <w:spacing w:before="260" w:after="260" w:line="416" w:lineRule="auto"/>
      <w:outlineLvl w:val="2"/>
    </w:pPr>
    <w:rPr>
      <w:b/>
      <w:bCs/>
      <w:sz w:val="32"/>
      <w:szCs w:val="32"/>
    </w:rPr>
  </w:style>
  <w:style w:type="character" w:styleId="1015" w:customStyle="1">
    <w:name w:val="默认段落字体1"/>
    <w:uiPriority w:val="1"/>
    <w:unhideWhenUsed/>
    <w:qFormat/>
  </w:style>
  <w:style w:type="table" w:styleId="1016"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17" w:customStyle="1">
    <w:name w:val="标题 1 Char"/>
    <w:basedOn w:val="1015"/>
    <w:link w:val="1012"/>
    <w:uiPriority w:val="9"/>
    <w:qFormat/>
    <w:rPr>
      <w:b/>
      <w:bCs/>
      <w:sz w:val="44"/>
      <w:szCs w:val="44"/>
    </w:rPr>
  </w:style>
  <w:style w:type="character" w:styleId="1018" w:customStyle="1">
    <w:name w:val="标题 2 Char"/>
    <w:basedOn w:val="1015"/>
    <w:link w:val="1013"/>
    <w:uiPriority w:val="9"/>
    <w:qFormat/>
    <w:rPr>
      <w:rFonts w:ascii="Cambria" w:hAnsi="Cambria" w:eastAsia="宋体" w:cs="Times New Roman"/>
      <w:b/>
      <w:bCs/>
      <w:sz w:val="32"/>
      <w:szCs w:val="32"/>
    </w:rPr>
  </w:style>
  <w:style w:type="character" w:styleId="1019" w:customStyle="1">
    <w:name w:val="标题 3 Char"/>
    <w:basedOn w:val="1015"/>
    <w:link w:val="1014"/>
    <w:uiPriority w:val="9"/>
    <w:qFormat/>
    <w:rPr>
      <w:b/>
      <w:bCs/>
      <w:sz w:val="32"/>
      <w:szCs w:val="32"/>
    </w:rPr>
  </w:style>
  <w:style w:type="paragraph" w:styleId="1020" w:customStyle="1">
    <w:name w:val="正文缩进1"/>
    <w:basedOn w:val="827"/>
    <w:next w:val="1021"/>
    <w:uiPriority w:val="0"/>
    <w:qFormat/>
    <w:pPr>
      <w:ind w:firstLine="420"/>
    </w:pPr>
    <w:rPr>
      <w:szCs w:val="20"/>
    </w:rPr>
  </w:style>
  <w:style w:type="paragraph" w:styleId="1021" w:customStyle="1">
    <w:name w:val="正文文本缩进1"/>
    <w:basedOn w:val="827"/>
    <w:next w:val="1020"/>
    <w:uiPriority w:val="0"/>
    <w:qFormat/>
    <w:pPr>
      <w:ind w:firstLine="600"/>
    </w:pPr>
    <w:rPr>
      <w:rFonts w:eastAsia="仿宋_GB2312"/>
      <w:sz w:val="30"/>
      <w:szCs w:val="30"/>
    </w:rPr>
  </w:style>
  <w:style w:type="paragraph" w:styleId="1022" w:customStyle="1">
    <w:name w:val="文档结构图1"/>
    <w:basedOn w:val="827"/>
    <w:link w:val="1023"/>
    <w:uiPriority w:val="99"/>
    <w:unhideWhenUsed/>
    <w:qFormat/>
    <w:rPr>
      <w:rFonts w:ascii="宋体"/>
      <w:sz w:val="18"/>
      <w:szCs w:val="18"/>
    </w:rPr>
  </w:style>
  <w:style w:type="character" w:styleId="1023" w:customStyle="1">
    <w:name w:val="文档结构图 Char"/>
    <w:basedOn w:val="1015"/>
    <w:link w:val="1022"/>
    <w:uiPriority w:val="99"/>
    <w:semiHidden/>
    <w:qFormat/>
    <w:rPr>
      <w:rFonts w:ascii="宋体" w:eastAsia="宋体"/>
      <w:sz w:val="18"/>
      <w:szCs w:val="18"/>
    </w:rPr>
  </w:style>
  <w:style w:type="paragraph" w:styleId="1024" w:customStyle="1">
    <w:name w:val="批注文字11"/>
    <w:basedOn w:val="827"/>
    <w:link w:val="1025"/>
    <w:uiPriority w:val="0"/>
    <w:qFormat/>
    <w:pPr>
      <w:ind w:firstLine="922"/>
      <w:jc w:val="left"/>
      <w:spacing w:line="360" w:lineRule="auto"/>
    </w:pPr>
    <w:rPr>
      <w:rFonts w:ascii="Times New Roman" w:hAnsi="Times New Roman"/>
      <w:szCs w:val="24"/>
    </w:rPr>
  </w:style>
  <w:style w:type="character" w:styleId="1025" w:customStyle="1">
    <w:name w:val="批注文字 Char"/>
    <w:basedOn w:val="1015"/>
    <w:link w:val="1024"/>
    <w:uiPriority w:val="0"/>
    <w:qFormat/>
    <w:rPr>
      <w:rFonts w:ascii="Times New Roman" w:hAnsi="Times New Roman" w:eastAsia="宋体" w:cs="Times New Roman"/>
      <w:szCs w:val="24"/>
    </w:rPr>
  </w:style>
  <w:style w:type="paragraph" w:styleId="1026" w:customStyle="1">
    <w:name w:val="纯文本1"/>
    <w:basedOn w:val="827"/>
    <w:link w:val="1027"/>
    <w:uiPriority w:val="0"/>
    <w:qFormat/>
    <w:rPr>
      <w:rFonts w:ascii="宋体" w:hAnsi="Courier New"/>
      <w:szCs w:val="20"/>
    </w:rPr>
  </w:style>
  <w:style w:type="character" w:styleId="1027" w:customStyle="1">
    <w:name w:val="纯文本 Char"/>
    <w:basedOn w:val="1015"/>
    <w:link w:val="1026"/>
    <w:uiPriority w:val="0"/>
    <w:qFormat/>
    <w:rPr>
      <w:rFonts w:ascii="宋体" w:hAnsi="Courier New" w:eastAsia="宋体" w:cs="Times New Roman"/>
      <w:szCs w:val="20"/>
    </w:rPr>
  </w:style>
  <w:style w:type="paragraph" w:styleId="1028" w:customStyle="1">
    <w:name w:val="日期1"/>
    <w:basedOn w:val="827"/>
    <w:next w:val="827"/>
    <w:link w:val="1029"/>
    <w:uiPriority w:val="99"/>
    <w:unhideWhenUsed/>
    <w:qFormat/>
    <w:pPr>
      <w:ind w:left="100"/>
    </w:pPr>
  </w:style>
  <w:style w:type="character" w:styleId="1029" w:customStyle="1">
    <w:name w:val="日期 Char"/>
    <w:basedOn w:val="1015"/>
    <w:link w:val="1028"/>
    <w:uiPriority w:val="99"/>
    <w:semiHidden/>
    <w:qFormat/>
  </w:style>
  <w:style w:type="paragraph" w:styleId="1030" w:customStyle="1">
    <w:name w:val="批注框文本1"/>
    <w:basedOn w:val="827"/>
    <w:link w:val="1031"/>
    <w:uiPriority w:val="99"/>
    <w:unhideWhenUsed/>
    <w:qFormat/>
    <w:rPr>
      <w:sz w:val="18"/>
      <w:szCs w:val="18"/>
    </w:rPr>
  </w:style>
  <w:style w:type="character" w:styleId="1031" w:customStyle="1">
    <w:name w:val="批注框文本 Char"/>
    <w:basedOn w:val="1015"/>
    <w:link w:val="1030"/>
    <w:uiPriority w:val="99"/>
    <w:semiHidden/>
    <w:qFormat/>
    <w:rPr>
      <w:sz w:val="18"/>
      <w:szCs w:val="18"/>
    </w:rPr>
  </w:style>
  <w:style w:type="paragraph" w:styleId="1032" w:customStyle="1">
    <w:name w:val="页脚1"/>
    <w:basedOn w:val="827"/>
    <w:link w:val="1033"/>
    <w:uiPriority w:val="99"/>
    <w:unhideWhenUsed/>
    <w:qFormat/>
    <w:pPr>
      <w:jc w:val="left"/>
      <w:tabs>
        <w:tab w:val="center" w:pos="4153" w:leader="none"/>
        <w:tab w:val="right" w:pos="8306" w:leader="none"/>
      </w:tabs>
    </w:pPr>
    <w:rPr>
      <w:sz w:val="18"/>
      <w:szCs w:val="18"/>
    </w:rPr>
  </w:style>
  <w:style w:type="character" w:styleId="1033" w:customStyle="1">
    <w:name w:val="页脚 Char"/>
    <w:basedOn w:val="1015"/>
    <w:link w:val="1032"/>
    <w:uiPriority w:val="99"/>
    <w:qFormat/>
    <w:rPr>
      <w:sz w:val="18"/>
      <w:szCs w:val="18"/>
    </w:rPr>
  </w:style>
  <w:style w:type="paragraph" w:styleId="1034" w:customStyle="1">
    <w:name w:val="页眉1"/>
    <w:basedOn w:val="827"/>
    <w:link w:val="103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5" w:customStyle="1">
    <w:name w:val="页眉 Char"/>
    <w:basedOn w:val="1015"/>
    <w:link w:val="1034"/>
    <w:uiPriority w:val="99"/>
    <w:semiHidden/>
    <w:qFormat/>
    <w:rPr>
      <w:sz w:val="18"/>
      <w:szCs w:val="18"/>
    </w:rPr>
  </w:style>
  <w:style w:type="paragraph" w:styleId="1036" w:customStyle="1">
    <w:name w:val="目录 11"/>
    <w:basedOn w:val="827"/>
    <w:next w:val="827"/>
    <w:uiPriority w:val="39"/>
    <w:unhideWhenUsed/>
    <w:qFormat/>
  </w:style>
  <w:style w:type="paragraph" w:styleId="1037" w:customStyle="1">
    <w:name w:val="标题1"/>
    <w:basedOn w:val="827"/>
    <w:next w:val="827"/>
    <w:uiPriority w:val="10"/>
    <w:qFormat/>
    <w:pPr>
      <w:contextualSpacing/>
      <w:spacing w:before="300" w:after="200"/>
    </w:pPr>
    <w:rPr>
      <w:sz w:val="48"/>
      <w:szCs w:val="48"/>
    </w:rPr>
  </w:style>
  <w:style w:type="paragraph" w:styleId="1038" w:customStyle="1">
    <w:name w:val="正文首行缩进 21"/>
    <w:basedOn w:val="1021"/>
    <w:next w:val="827"/>
    <w:uiPriority w:val="0"/>
    <w:qFormat/>
    <w:pPr>
      <w:ind w:firstLine="200"/>
      <w:tabs>
        <w:tab w:val="left" w:pos="525" w:leader="none"/>
        <w:tab w:val="left" w:pos="4320" w:leader="none"/>
      </w:tabs>
    </w:pPr>
    <w:rPr>
      <w:rFonts w:eastAsia="宋体" w:cs="宋体"/>
    </w:rPr>
  </w:style>
  <w:style w:type="table" w:styleId="1039" w:customStyle="1">
    <w:name w:val="网格型1"/>
    <w:basedOn w:val="1016"/>
    <w:uiPriority w:val="59"/>
    <w:qFormat/>
    <w:tblPr>
      <w:tblCellMar>
        <w:left w:w="0" w:type="dxa"/>
        <w:top w:w="0" w:type="dxa"/>
        <w:right w:w="0" w:type="dxa"/>
        <w:bottom w:w="0" w:type="dxa"/>
      </w:tblCellMar>
    </w:tblPr>
  </w:style>
  <w:style w:type="character" w:styleId="1040" w:customStyle="1">
    <w:name w:val="要点1"/>
    <w:basedOn w:val="1015"/>
    <w:uiPriority w:val="22"/>
    <w:qFormat/>
    <w:rPr>
      <w:b/>
    </w:rPr>
  </w:style>
  <w:style w:type="character" w:styleId="1041" w:customStyle="1">
    <w:name w:val="页码1"/>
    <w:uiPriority w:val="0"/>
    <w:qFormat/>
  </w:style>
  <w:style w:type="character" w:styleId="1042" w:customStyle="1">
    <w:name w:val="超链接1"/>
    <w:uiPriority w:val="99"/>
    <w:qFormat/>
    <w:rPr>
      <w:color w:val="0000ff"/>
      <w:u w:val="none"/>
    </w:rPr>
  </w:style>
  <w:style w:type="character" w:styleId="1043" w:customStyle="1">
    <w:name w:val="批注引用1"/>
    <w:uiPriority w:val="0"/>
    <w:qFormat/>
    <w:rPr>
      <w:sz w:val="21"/>
      <w:szCs w:val="21"/>
    </w:rPr>
  </w:style>
  <w:style w:type="paragraph" w:styleId="1044">
    <w:name w:val="List Paragraph"/>
    <w:next w:val="827"/>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045" w:customStyle="1">
    <w:name w:val="Default Char"/>
    <w:link w:val="863"/>
    <w:uiPriority w:val="99"/>
    <w:qFormat/>
    <w:rPr>
      <w:rFonts w:ascii="MS Mincho" w:hAnsi="Calibri"/>
      <w:color w:val="000000"/>
      <w:szCs w:val="24"/>
      <w:lang w:bidi="ar-SA"/>
    </w:rPr>
  </w:style>
  <w:style w:type="paragraph" w:styleId="1046" w:customStyle="1">
    <w:name w:val="正文首行缩进11"/>
    <w:basedOn w:val="1047"/>
    <w:uiPriority w:val="0"/>
    <w:qFormat/>
    <w:pPr>
      <w:ind w:firstLine="200"/>
      <w:spacing w:line="360" w:lineRule="auto"/>
    </w:pPr>
    <w:rPr>
      <w:rFonts w:ascii="仿宋_GB2312" w:hAnsi="Times New Roman" w:eastAsia="仿宋_GB2312"/>
      <w:sz w:val="30"/>
      <w:szCs w:val="30"/>
    </w:rPr>
  </w:style>
  <w:style w:type="paragraph" w:styleId="1047" w:customStyle="1">
    <w:name w:val="正文文本11"/>
    <w:basedOn w:val="827"/>
    <w:next w:val="827"/>
    <w:uiPriority w:val="0"/>
    <w:qFormat/>
    <w:rPr>
      <w:rFonts w:ascii="楷体_GB2312" w:hAnsi="Arial" w:eastAsia="楷体_GB2312"/>
      <w:sz w:val="28"/>
      <w:szCs w:val="28"/>
      <w:lang w:eastAsia="en-US"/>
    </w:rPr>
  </w:style>
  <w:style w:type="paragraph" w:styleId="1048" w:customStyle="1">
    <w:name w:val="标题 31"/>
    <w:basedOn w:val="827"/>
    <w:next w:val="1049"/>
    <w:uiPriority w:val="9"/>
    <w:unhideWhenUsed/>
    <w:qFormat/>
    <w:pPr>
      <w:keepLines/>
      <w:keepNext/>
      <w:spacing w:before="320" w:after="200"/>
      <w:outlineLvl w:val="2"/>
    </w:pPr>
    <w:rPr>
      <w:rFonts w:ascii="Arial" w:hAnsi="Arial" w:eastAsia="Arial" w:cs="Arial"/>
      <w:sz w:val="30"/>
      <w:szCs w:val="30"/>
    </w:rPr>
  </w:style>
  <w:style w:type="paragraph" w:styleId="1049" w:customStyle="1">
    <w:name w:val="正文缩进11"/>
    <w:basedOn w:val="827"/>
    <w:uiPriority w:val="0"/>
    <w:qFormat/>
    <w:pPr>
      <w:ind w:firstLine="420"/>
    </w:pPr>
    <w:rPr>
      <w:sz w:val="20"/>
    </w:rPr>
  </w:style>
  <w:style w:type="paragraph" w:styleId="1050" w:customStyle="1">
    <w:name w:val="正  文"/>
    <w:basedOn w:val="827"/>
    <w:uiPriority w:val="0"/>
    <w:qFormat/>
    <w:pPr>
      <w:ind w:firstLine="200"/>
      <w:spacing w:line="360" w:lineRule="auto"/>
    </w:pPr>
    <w:rPr>
      <w:rFonts w:ascii="Times New Roman" w:hAnsi="Times New Roman"/>
      <w:szCs w:val="21"/>
    </w:rPr>
  </w:style>
  <w:style w:type="paragraph" w:styleId="1051" w:customStyle="1">
    <w:name w:val="批注文字1"/>
    <w:basedOn w:val="827"/>
    <w:uiPriority w:val="0"/>
    <w:qFormat/>
    <w:pPr>
      <w:jc w:val="left"/>
    </w:pPr>
  </w:style>
  <w:style w:type="character" w:styleId="1052" w:customStyle="1">
    <w:name w:val="font131"/>
    <w:uiPriority w:val="0"/>
    <w:qFormat/>
    <w:rPr>
      <w:rFonts w:ascii="Times New Roman" w:hAnsi="Times New Roman" w:cs="Times New Roman"/>
      <w:b/>
      <w:color w:val="000000"/>
      <w:sz w:val="21"/>
      <w:szCs w:val="21"/>
      <w:u w:val="none"/>
    </w:rPr>
  </w:style>
  <w:style w:type="character" w:styleId="1053" w:customStyle="1">
    <w:name w:val="font171"/>
    <w:uiPriority w:val="0"/>
    <w:qFormat/>
    <w:rPr>
      <w:rFonts w:hint="eastAsia" w:ascii="楷体_GB2312" w:eastAsia="楷体_GB2312" w:cs="楷体_GB2312"/>
      <w:b/>
      <w:color w:val="000000"/>
      <w:sz w:val="21"/>
      <w:szCs w:val="21"/>
      <w:u w:val="none"/>
    </w:rPr>
  </w:style>
  <w:style w:type="character" w:styleId="1054" w:customStyle="1">
    <w:name w:val="font121"/>
    <w:uiPriority w:val="0"/>
    <w:qFormat/>
    <w:rPr>
      <w:rFonts w:ascii="仿宋_GB2312" w:eastAsia="仿宋_GB2312" w:cs="仿宋_GB2312"/>
      <w:color w:val="000000"/>
      <w:sz w:val="21"/>
      <w:szCs w:val="21"/>
      <w:u w:val="none"/>
    </w:rPr>
  </w:style>
  <w:style w:type="character" w:styleId="1055" w:customStyle="1">
    <w:name w:val="font161"/>
    <w:uiPriority w:val="0"/>
    <w:qFormat/>
    <w:rPr>
      <w:rFonts w:ascii="Times New Roman" w:hAnsi="Times New Roman" w:cs="Times New Roman"/>
      <w:color w:val="000000"/>
      <w:sz w:val="21"/>
      <w:szCs w:val="21"/>
      <w:u w:val="none"/>
    </w:rPr>
  </w:style>
  <w:style w:type="character" w:styleId="1056" w:customStyle="1">
    <w:name w:val="font111"/>
    <w:uiPriority w:val="0"/>
    <w:qFormat/>
    <w:rPr>
      <w:rFonts w:hint="eastAsia" w:ascii="仿宋_GB2312" w:eastAsia="仿宋_GB2312" w:cs="仿宋_GB2312"/>
      <w:b/>
      <w:color w:val="000000"/>
      <w:sz w:val="21"/>
      <w:szCs w:val="21"/>
      <w:u w:val="none"/>
    </w:rPr>
  </w:style>
  <w:style w:type="character" w:styleId="1057" w:customStyle="1">
    <w:name w:val="font151"/>
    <w:uiPriority w:val="0"/>
    <w:qFormat/>
    <w:rPr>
      <w:rFonts w:hint="eastAsia" w:ascii="宋体" w:hAnsi="宋体" w:eastAsia="宋体" w:cs="宋体"/>
      <w:b/>
      <w:color w:val="000000"/>
      <w:sz w:val="21"/>
      <w:szCs w:val="21"/>
      <w:u w:val="none"/>
    </w:rPr>
  </w:style>
  <w:style w:type="character" w:styleId="1058" w:customStyle="1">
    <w:name w:val="font101"/>
    <w:uiPriority w:val="0"/>
    <w:qFormat/>
    <w:rPr>
      <w:rFonts w:ascii="Times New Roman" w:hAnsi="Times New Roman" w:cs="Times New Roman"/>
      <w:b/>
      <w:color w:val="000000"/>
      <w:sz w:val="28"/>
      <w:szCs w:val="28"/>
      <w:u w:val="none"/>
    </w:rPr>
  </w:style>
  <w:style w:type="character" w:styleId="1059" w:customStyle="1">
    <w:name w:val="font141"/>
    <w:uiPriority w:val="0"/>
    <w:qFormat/>
    <w:rPr>
      <w:rFonts w:hint="eastAsia" w:ascii="宋体" w:hAnsi="宋体" w:eastAsia="宋体" w:cs="宋体"/>
      <w:b/>
      <w:color w:val="000000"/>
      <w:sz w:val="28"/>
      <w:szCs w:val="28"/>
      <w:u w:val="none"/>
    </w:rPr>
  </w:style>
  <w:style w:type="paragraph" w:styleId="1060" w:customStyle="1">
    <w:name w:val="BodyText1"/>
    <w:uiPriority w:val="0"/>
    <w:qFormat/>
    <w:pPr>
      <w:jc w:val="both"/>
      <w:spacing w:after="120"/>
      <w:widowControl w:val="off"/>
    </w:pPr>
    <w:rPr>
      <w:rFonts w:ascii="Times New Roman" w:hAnsi="Times New Roman" w:eastAsia="宋体" w:cs="Times New Roman"/>
      <w:sz w:val="21"/>
      <w:szCs w:val="24"/>
      <w:lang w:val="en-US" w:eastAsia="zh-CN" w:bidi="ar-SA"/>
    </w:rPr>
  </w:style>
  <w:style w:type="character" w:styleId="1061" w:customStyle="1">
    <w:name w:val="font01"/>
    <w:uiPriority w:val="0"/>
    <w:qFormat/>
    <w:rPr>
      <w:rFonts w:ascii="font-weight : 400" w:hAnsi="font-weight : 400" w:eastAsia="font-weight : 400" w:cs="font-weight : 400"/>
      <w:color w:val="000000"/>
      <w:sz w:val="22"/>
      <w:szCs w:val="22"/>
      <w:u w:val="none"/>
    </w:rPr>
  </w:style>
  <w:style w:type="paragraph" w:styleId="1062" w:customStyle="1">
    <w:name w:val="普通正文"/>
    <w:basedOn w:val="827"/>
    <w:uiPriority w:val="0"/>
    <w:qFormat/>
    <w:pPr>
      <w:ind w:firstLine="480"/>
      <w:jc w:val="left"/>
      <w:spacing w:before="120" w:after="120" w:line="360" w:lineRule="auto"/>
    </w:pPr>
    <w:rPr>
      <w:rFonts w:ascii="Arial" w:hAnsi="Arial"/>
      <w:sz w:val="24"/>
      <w:lang w:eastAsia="en-US"/>
    </w:rPr>
  </w:style>
  <w:style w:type="paragraph" w:styleId="1063" w:customStyle="1">
    <w:name w:val="Table Paragraph"/>
    <w:basedOn w:val="827"/>
    <w:uiPriority w:val="1"/>
    <w:qFormat/>
    <w:pPr>
      <w:jc w:val="left"/>
    </w:pPr>
    <w:rPr>
      <w:sz w:val="24"/>
    </w:rPr>
  </w:style>
  <w:style w:type="paragraph" w:styleId="1064" w:customStyle="1">
    <w:name w:val="段"/>
    <w:next w:val="827"/>
    <w:uiPriority w:val="0"/>
    <w:qFormat/>
    <w:pPr>
      <w:ind w:firstLine="200"/>
      <w:jc w:val="both"/>
    </w:pPr>
    <w:rPr>
      <w:rFonts w:ascii="宋体" w:hAnsi="Calibri" w:eastAsia="宋体" w:cs="Times New Roman"/>
      <w:sz w:val="21"/>
      <w:lang w:val="en-US" w:eastAsia="zh-CN" w:bidi="ar-SA"/>
    </w:rPr>
  </w:style>
  <w:style w:type="paragraph" w:styleId="1065" w:customStyle="1">
    <w:name w:val="Revision"/>
    <w:hidden/>
    <w:uiPriority w:val="99"/>
    <w:unhideWhenUsed/>
    <w:qFormat/>
    <w:rPr>
      <w:rFonts w:ascii="Calibri" w:hAnsi="Calibri" w:eastAsia="宋体" w:cs="Times New Roman"/>
      <w:sz w:val="21"/>
      <w:szCs w:val="22"/>
      <w:lang w:val="en-US" w:eastAsia="zh-CN" w:bidi="ar-SA"/>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赣榆办事处</cp:lastModifiedBy>
  <cp:revision>4</cp:revision>
  <dcterms:created xsi:type="dcterms:W3CDTF">2026-05-06T09:07:00Z</dcterms:created>
  <dcterms:modified xsi:type="dcterms:W3CDTF">2026-05-14T01:41:01Z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eyJoZGlkIjoiMDE2MjkxMTFmOTQyYjY2N2EyMGVhYjAyYTQzOGNlNjEiLCJ1c2VySWQiOiIxMTUzNzgzODM1In0=</vt:lpwstr>
  </property>
  <property fmtid="{D5CDD505-2E9C-101B-9397-08002B2CF9AE}" pid="3" name="KSOProductBuildVer">
    <vt:lpwstr>2052-12.1.0.25865</vt:lpwstr>
  </property>
  <property fmtid="{D5CDD505-2E9C-101B-9397-08002B2CF9AE}" pid="4" name="ICV">
    <vt:lpwstr>857FBF0682B5451CB009F238527DF86C_13</vt:lpwstr>
  </property>
</Properties>
</file>